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815E6" w14:textId="77777777" w:rsidR="000E6FBB" w:rsidRPr="00786A47" w:rsidRDefault="00A071CC" w:rsidP="003571F3">
      <w:pPr>
        <w:ind w:left="-238"/>
      </w:pPr>
      <w:r>
        <w:rPr>
          <w:noProof/>
          <w:lang w:eastAsia="en-AU"/>
        </w:rPr>
        <w:drawing>
          <wp:inline distT="0" distB="0" distL="0" distR="0" wp14:anchorId="41864CEB" wp14:editId="0F9602A9">
            <wp:extent cx="7615323" cy="1412837"/>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5323" cy="1412837"/>
                    </a:xfrm>
                    <a:prstGeom prst="rect">
                      <a:avLst/>
                    </a:prstGeom>
                    <a:noFill/>
                    <a:ln>
                      <a:noFill/>
                    </a:ln>
                  </pic:spPr>
                </pic:pic>
              </a:graphicData>
            </a:graphic>
          </wp:inline>
        </w:drawing>
      </w:r>
    </w:p>
    <w:sdt>
      <w:sdtPr>
        <w:rPr>
          <w:sz w:val="40"/>
          <w:szCs w:val="40"/>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25DCE32F" w14:textId="77777777" w:rsidR="00C10C19" w:rsidRPr="003571F3" w:rsidRDefault="00F236E8" w:rsidP="003571F3">
          <w:pPr>
            <w:pStyle w:val="Title"/>
            <w:ind w:left="1276"/>
            <w:rPr>
              <w:sz w:val="40"/>
              <w:szCs w:val="40"/>
            </w:rPr>
          </w:pPr>
          <w:r w:rsidRPr="003571F3">
            <w:rPr>
              <w:sz w:val="40"/>
              <w:szCs w:val="40"/>
            </w:rPr>
            <w:t>Fact Sheet - Advice to Agencies: Applying the Work Health and Safety Accreditation Scheme</w:t>
          </w:r>
        </w:p>
      </w:sdtContent>
    </w:sdt>
    <w:p w14:paraId="2604589E" w14:textId="77777777" w:rsidR="004D54E7" w:rsidRPr="00786A47" w:rsidRDefault="004D54E7" w:rsidP="003571F3">
      <w:pPr>
        <w:pStyle w:val="DeleteText"/>
        <w:sectPr w:rsidR="004D54E7" w:rsidRPr="00786A47" w:rsidSect="00923C8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0" w:right="1440" w:bottom="1440" w:left="238" w:header="709" w:footer="567" w:gutter="0"/>
          <w:cols w:space="708"/>
          <w:docGrid w:linePitch="360"/>
        </w:sectPr>
      </w:pPr>
      <w:bookmarkStart w:id="0" w:name="_Toc364946114"/>
    </w:p>
    <w:p w14:paraId="0FC87760" w14:textId="7897ABAE" w:rsidR="00291EA2" w:rsidRPr="00786A47" w:rsidRDefault="00291EA2" w:rsidP="003571F3">
      <w:pPr>
        <w:rPr>
          <w:rFonts w:eastAsia="Times New Roman"/>
          <w:lang w:val="en-GB" w:eastAsia="en-AU"/>
        </w:rPr>
      </w:pPr>
      <w:r w:rsidRPr="00786A47">
        <w:rPr>
          <w:rFonts w:eastAsia="Times New Roman"/>
          <w:lang w:val="en-GB" w:eastAsia="en-AU"/>
        </w:rPr>
        <w:t xml:space="preserve">The </w:t>
      </w:r>
      <w:r w:rsidR="00867B9C" w:rsidRPr="00786A47">
        <w:rPr>
          <w:rFonts w:eastAsia="Times New Roman"/>
          <w:lang w:val="en-GB" w:eastAsia="en-AU"/>
        </w:rPr>
        <w:t>Work Health and Safety Accreditation Scheme</w:t>
      </w:r>
      <w:r w:rsidRPr="00786A47">
        <w:rPr>
          <w:rFonts w:eastAsia="Times New Roman"/>
          <w:lang w:val="en-GB" w:eastAsia="en-AU"/>
        </w:rPr>
        <w:t xml:space="preserve"> is established under the </w:t>
      </w:r>
      <w:r w:rsidR="005961DA">
        <w:rPr>
          <w:i/>
          <w:iCs/>
        </w:rPr>
        <w:t>Federal Safety Commissioner Act 2022</w:t>
      </w:r>
      <w:r w:rsidR="003571F3">
        <w:rPr>
          <w:rFonts w:eastAsia="Times New Roman"/>
          <w:lang w:val="en-GB" w:eastAsia="en-AU"/>
        </w:rPr>
        <w:t xml:space="preserve"> (the Act) </w:t>
      </w:r>
      <w:r w:rsidRPr="00786A47">
        <w:rPr>
          <w:rFonts w:eastAsia="Times New Roman"/>
          <w:lang w:val="en-GB" w:eastAsia="en-AU"/>
        </w:rPr>
        <w:t xml:space="preserve">and specified in the </w:t>
      </w:r>
      <w:r w:rsidR="00D82CE4">
        <w:rPr>
          <w:i/>
          <w:iCs/>
          <w:color w:val="000000"/>
        </w:rPr>
        <w:t>Federal Safety Commissioner (Accreditation Scheme) Amendment Rules 2023</w:t>
      </w:r>
      <w:r w:rsidR="00D82CE4">
        <w:rPr>
          <w:rFonts w:eastAsia="Times New Roman"/>
          <w:lang w:val="en-GB" w:eastAsia="en-AU"/>
        </w:rPr>
        <w:t xml:space="preserve"> </w:t>
      </w:r>
      <w:r w:rsidR="00C35CA8">
        <w:rPr>
          <w:rFonts w:eastAsia="Times New Roman"/>
          <w:lang w:val="en-GB" w:eastAsia="en-AU"/>
        </w:rPr>
        <w:t>(the Rules</w:t>
      </w:r>
      <w:r w:rsidR="003571F3">
        <w:rPr>
          <w:rFonts w:eastAsia="Times New Roman"/>
          <w:lang w:val="en-GB" w:eastAsia="en-AU"/>
        </w:rPr>
        <w:t>)</w:t>
      </w:r>
      <w:r w:rsidRPr="00786A47">
        <w:rPr>
          <w:rFonts w:eastAsia="Times New Roman"/>
          <w:lang w:val="en-GB" w:eastAsia="en-AU"/>
        </w:rPr>
        <w:t>.</w:t>
      </w:r>
    </w:p>
    <w:p w14:paraId="1898466A" w14:textId="77777777" w:rsidR="00291EA2" w:rsidRPr="00786A47" w:rsidRDefault="003571F3" w:rsidP="003571F3">
      <w:pPr>
        <w:rPr>
          <w:rFonts w:eastAsia="Times New Roman"/>
          <w:lang w:val="en-GB" w:eastAsia="en-AU"/>
        </w:rPr>
      </w:pPr>
      <w:r>
        <w:rPr>
          <w:rFonts w:eastAsia="Times New Roman"/>
          <w:lang w:val="en-GB" w:eastAsia="en-AU"/>
        </w:rPr>
        <w:t>The</w:t>
      </w:r>
      <w:r w:rsidR="00291EA2" w:rsidRPr="00786A47">
        <w:rPr>
          <w:rFonts w:eastAsia="Times New Roman"/>
          <w:lang w:val="en-GB" w:eastAsia="en-AU"/>
        </w:rPr>
        <w:t xml:space="preserve"> Act places specific legal obligations on Commonwealth funding agencies as clients of the building and construction industry. These obligations exist whether building work is procured directly by the funding agency, or indirectly through funding arrangements with third parties, such as national partnership agreements and other programmes.  </w:t>
      </w:r>
    </w:p>
    <w:p w14:paraId="24D20E40" w14:textId="77777777" w:rsidR="00291EA2" w:rsidRPr="00786A47" w:rsidRDefault="00291EA2" w:rsidP="003571F3">
      <w:pPr>
        <w:rPr>
          <w:rStyle w:val="Strong"/>
        </w:rPr>
      </w:pPr>
      <w:r w:rsidRPr="00786A47">
        <w:rPr>
          <w:rFonts w:eastAsia="Times New Roman"/>
          <w:lang w:val="en-GB" w:eastAsia="en-AU"/>
        </w:rPr>
        <w:t xml:space="preserve">All staff involved in the procurement of building work must understand these obligations and ensure that tender documentation, funding agreements, and building contracts reflect Scheme requirements. </w:t>
      </w:r>
    </w:p>
    <w:p w14:paraId="29797A81" w14:textId="77777777" w:rsidR="00291EA2" w:rsidRPr="003571F3" w:rsidRDefault="00291EA2" w:rsidP="003571F3">
      <w:pPr>
        <w:pStyle w:val="Heading1"/>
      </w:pPr>
      <w:r w:rsidRPr="003571F3">
        <w:t>What is the purpose of the Scheme?</w:t>
      </w:r>
    </w:p>
    <w:p w14:paraId="345D64C1" w14:textId="77777777" w:rsidR="00291EA2" w:rsidRPr="00786A47" w:rsidRDefault="00291EA2" w:rsidP="003571F3">
      <w:pPr>
        <w:rPr>
          <w:rFonts w:eastAsia="Times New Roman"/>
          <w:lang w:val="en-GB" w:eastAsia="en-AU"/>
        </w:rPr>
      </w:pPr>
      <w:r w:rsidRPr="00786A47">
        <w:rPr>
          <w:rFonts w:eastAsia="Times New Roman"/>
          <w:lang w:val="en-GB" w:eastAsia="en-AU"/>
        </w:rPr>
        <w:t xml:space="preserve">The Scheme is administered by the Office of the Federal Safety Commissioner (OFSC) and enables the Australian Government to use its influence as a major construction client and provider of capital to improve the WHS performance of the building and construction industry. The objective of the Scheme is to foster a culture </w:t>
      </w:r>
      <w:r w:rsidR="00CA3C13">
        <w:rPr>
          <w:rFonts w:eastAsia="Times New Roman"/>
          <w:lang w:val="en-GB" w:eastAsia="en-AU"/>
        </w:rPr>
        <w:t xml:space="preserve">in the building and construction industry </w:t>
      </w:r>
      <w:r w:rsidRPr="00786A47">
        <w:rPr>
          <w:rFonts w:eastAsia="Times New Roman"/>
          <w:lang w:val="en-GB" w:eastAsia="en-AU"/>
        </w:rPr>
        <w:t xml:space="preserve">where </w:t>
      </w:r>
      <w:r w:rsidR="00CA3C13">
        <w:rPr>
          <w:rFonts w:eastAsia="Times New Roman"/>
          <w:lang w:val="en-GB" w:eastAsia="en-AU"/>
        </w:rPr>
        <w:t>no one is harmed</w:t>
      </w:r>
      <w:r w:rsidRPr="00786A47">
        <w:rPr>
          <w:rFonts w:eastAsia="Times New Roman"/>
          <w:lang w:val="en-GB" w:eastAsia="en-AU"/>
        </w:rPr>
        <w:t>.</w:t>
      </w:r>
    </w:p>
    <w:p w14:paraId="7DEF1B4C" w14:textId="77777777" w:rsidR="00291EA2" w:rsidRPr="00786A47" w:rsidRDefault="00291EA2" w:rsidP="003571F3">
      <w:pPr>
        <w:rPr>
          <w:rFonts w:eastAsia="Times New Roman"/>
          <w:lang w:val="en-GB" w:eastAsia="en-AU"/>
        </w:rPr>
      </w:pPr>
      <w:r w:rsidRPr="00786A47">
        <w:rPr>
          <w:rFonts w:eastAsia="Times New Roman"/>
          <w:lang w:val="en-GB" w:eastAsia="en-AU"/>
        </w:rPr>
        <w:t xml:space="preserve">The Scheme operates such that, subject to certain thresholds, only principal/head contractors who are accredited under the Scheme can enter into contracts for building work that </w:t>
      </w:r>
      <w:r w:rsidR="00CA3C13">
        <w:rPr>
          <w:rFonts w:eastAsia="Times New Roman"/>
          <w:lang w:val="en-GB" w:eastAsia="en-AU"/>
        </w:rPr>
        <w:t>are</w:t>
      </w:r>
      <w:r w:rsidRPr="00786A47">
        <w:rPr>
          <w:rFonts w:eastAsia="Times New Roman"/>
          <w:lang w:val="en-GB" w:eastAsia="en-AU"/>
        </w:rPr>
        <w:t xml:space="preserve"> funded </w:t>
      </w:r>
      <w:r w:rsidRPr="00786A47">
        <w:rPr>
          <w:rFonts w:eastAsia="Times New Roman"/>
          <w:b/>
          <w:bCs/>
          <w:lang w:val="en-GB" w:eastAsia="en-AU"/>
        </w:rPr>
        <w:t>directly</w:t>
      </w:r>
      <w:r w:rsidRPr="00786A47">
        <w:rPr>
          <w:rFonts w:eastAsia="Times New Roman"/>
          <w:lang w:val="en-GB" w:eastAsia="en-AU"/>
        </w:rPr>
        <w:t xml:space="preserve"> or </w:t>
      </w:r>
      <w:r w:rsidRPr="00786A47">
        <w:rPr>
          <w:rFonts w:eastAsia="Times New Roman"/>
          <w:b/>
          <w:bCs/>
          <w:lang w:val="en-GB" w:eastAsia="en-AU"/>
        </w:rPr>
        <w:t>indirectly</w:t>
      </w:r>
      <w:r w:rsidRPr="00786A47">
        <w:rPr>
          <w:rFonts w:eastAsia="Times New Roman"/>
          <w:lang w:val="en-GB" w:eastAsia="en-AU"/>
        </w:rPr>
        <w:t xml:space="preserve"> by the Australian Government. </w:t>
      </w:r>
    </w:p>
    <w:p w14:paraId="58F734FC" w14:textId="77777777" w:rsidR="009C165B" w:rsidRDefault="009C165B" w:rsidP="003571F3">
      <w:pPr>
        <w:rPr>
          <w:rFonts w:eastAsia="Times New Roman"/>
          <w:lang w:val="en-GB" w:eastAsia="en-AU"/>
        </w:rPr>
      </w:pPr>
    </w:p>
    <w:p w14:paraId="1EB8837C" w14:textId="77777777" w:rsidR="00291EA2" w:rsidRPr="00786A47" w:rsidRDefault="00291EA2" w:rsidP="003571F3">
      <w:pPr>
        <w:rPr>
          <w:rFonts w:eastAsia="Times New Roman"/>
          <w:lang w:val="en-GB" w:eastAsia="en-AU"/>
        </w:rPr>
      </w:pPr>
      <w:r w:rsidRPr="00786A47">
        <w:rPr>
          <w:rFonts w:eastAsia="Times New Roman"/>
          <w:lang w:val="en-GB" w:eastAsia="en-AU"/>
        </w:rPr>
        <w:t>The Act, in particular, provides that a Government agency or authority must not fund building work unless the contract entered into for building work is with an accredite</w:t>
      </w:r>
      <w:r w:rsidR="003571F3">
        <w:rPr>
          <w:rFonts w:eastAsia="Times New Roman"/>
          <w:lang w:val="en-GB" w:eastAsia="en-AU"/>
        </w:rPr>
        <w:t xml:space="preserve">d company. </w:t>
      </w:r>
      <w:r w:rsidR="004C75F8">
        <w:rPr>
          <w:rFonts w:eastAsia="Times New Roman"/>
          <w:lang w:val="en-GB" w:eastAsia="en-AU"/>
        </w:rPr>
        <w:t>Sectio</w:t>
      </w:r>
      <w:r w:rsidR="003571F3">
        <w:rPr>
          <w:rFonts w:eastAsia="Times New Roman"/>
          <w:lang w:val="en-GB" w:eastAsia="en-AU"/>
        </w:rPr>
        <w:t>n 26</w:t>
      </w:r>
      <w:r w:rsidR="004C75F8">
        <w:rPr>
          <w:rFonts w:eastAsia="Times New Roman"/>
          <w:lang w:val="en-GB" w:eastAsia="en-AU"/>
        </w:rPr>
        <w:t>(g)</w:t>
      </w:r>
      <w:r w:rsidR="003571F3">
        <w:rPr>
          <w:rFonts w:eastAsia="Times New Roman"/>
          <w:lang w:val="en-GB" w:eastAsia="en-AU"/>
        </w:rPr>
        <w:t xml:space="preserve"> of the</w:t>
      </w:r>
      <w:r w:rsidR="003571F3">
        <w:t xml:space="preserve"> </w:t>
      </w:r>
      <w:r w:rsidR="004C75F8">
        <w:t>Rules</w:t>
      </w:r>
      <w:r w:rsidR="003571F3">
        <w:rPr>
          <w:rFonts w:eastAsia="Times New Roman"/>
          <w:lang w:val="en-GB" w:eastAsia="en-AU"/>
        </w:rPr>
        <w:t xml:space="preserve"> </w:t>
      </w:r>
      <w:r w:rsidRPr="00786A47">
        <w:rPr>
          <w:rFonts w:eastAsia="Times New Roman"/>
          <w:lang w:val="en-GB" w:eastAsia="en-AU"/>
        </w:rPr>
        <w:t>outlines provisions applying to joint venture arrangements that include accredited and unaccredited builders. Please refer to “Joint venture arrangements” below.</w:t>
      </w:r>
    </w:p>
    <w:p w14:paraId="27990104" w14:textId="77777777" w:rsidR="00291EA2" w:rsidRPr="00786A47" w:rsidRDefault="00291EA2" w:rsidP="003571F3">
      <w:pPr>
        <w:rPr>
          <w:rFonts w:eastAsia="Times New Roman"/>
          <w:lang w:val="en-GB" w:eastAsia="en-AU"/>
        </w:rPr>
      </w:pPr>
      <w:r w:rsidRPr="00786A47">
        <w:rPr>
          <w:rFonts w:eastAsia="Times New Roman"/>
          <w:lang w:val="en-GB" w:eastAsia="en-AU"/>
        </w:rPr>
        <w:t xml:space="preserve">A list of accredited companies is available on the OFSC website at </w:t>
      </w:r>
      <w:hyperlink r:id="rId18" w:history="1">
        <w:r w:rsidRPr="003571F3">
          <w:rPr>
            <w:rStyle w:val="Hyperlink"/>
            <w:sz w:val="19"/>
            <w:szCs w:val="19"/>
          </w:rPr>
          <w:t>www.fsc.gov.au</w:t>
        </w:r>
      </w:hyperlink>
      <w:r w:rsidRPr="00786A47">
        <w:rPr>
          <w:rFonts w:eastAsia="Times New Roman"/>
          <w:lang w:val="en-GB" w:eastAsia="en-AU"/>
        </w:rPr>
        <w:t>.</w:t>
      </w:r>
    </w:p>
    <w:p w14:paraId="33C8CF8B" w14:textId="77777777" w:rsidR="00291EA2" w:rsidRPr="00786A47" w:rsidRDefault="00291EA2" w:rsidP="003571F3">
      <w:pPr>
        <w:rPr>
          <w:rFonts w:eastAsia="Times New Roman"/>
          <w:lang w:val="en-GB" w:eastAsia="en-AU"/>
        </w:rPr>
      </w:pPr>
      <w:r w:rsidRPr="00786A47">
        <w:rPr>
          <w:rFonts w:eastAsia="Times New Roman"/>
          <w:lang w:val="en-GB" w:eastAsia="en-AU"/>
        </w:rPr>
        <w:t>Agencies should note that where a non-accredited company is engaged by a funding agency, or by third party funding recipient, this may result in the funding agency being in breach of Scheme requirements.</w:t>
      </w:r>
    </w:p>
    <w:p w14:paraId="39CEE036" w14:textId="77777777" w:rsidR="00291EA2" w:rsidRPr="00786A47" w:rsidRDefault="00291EA2" w:rsidP="003571F3">
      <w:pPr>
        <w:pStyle w:val="Heading1"/>
      </w:pPr>
      <w:r w:rsidRPr="00786A47">
        <w:t xml:space="preserve">What is directly funded building work? </w:t>
      </w:r>
    </w:p>
    <w:p w14:paraId="507C53DA" w14:textId="77777777" w:rsidR="00291EA2" w:rsidRPr="00786A47" w:rsidRDefault="00291EA2" w:rsidP="003571F3">
      <w:pPr>
        <w:rPr>
          <w:rFonts w:eastAsia="Times New Roman"/>
          <w:lang w:val="en-GB" w:eastAsia="en-AU"/>
        </w:rPr>
      </w:pPr>
      <w:r w:rsidRPr="00786A47">
        <w:rPr>
          <w:rFonts w:eastAsia="Times New Roman"/>
          <w:lang w:val="en-GB" w:eastAsia="en-AU"/>
        </w:rPr>
        <w:t>Building work is considered to be directly funded where an Australian Government agency is the direct client of the building and construction industry.  This includes instances when an agency undertakes the procurement process directly, or engages a third party representative to undertake the process on their behalf. Pre</w:t>
      </w:r>
      <w:r w:rsidRPr="00786A47">
        <w:rPr>
          <w:rFonts w:eastAsia="Times New Roman"/>
          <w:lang w:val="en-GB" w:eastAsia="en-AU"/>
        </w:rPr>
        <w:noBreakHyphen/>
        <w:t xml:space="preserve">commitment leases and similar arrangements are also considered direct funding arrangements. </w:t>
      </w:r>
    </w:p>
    <w:p w14:paraId="4CA9C309" w14:textId="77777777" w:rsidR="00291EA2" w:rsidRPr="00786A47" w:rsidRDefault="00291EA2" w:rsidP="003571F3">
      <w:pPr>
        <w:rPr>
          <w:rFonts w:eastAsia="Times New Roman"/>
          <w:lang w:val="en-GB" w:eastAsia="en-AU"/>
        </w:rPr>
      </w:pPr>
      <w:r w:rsidRPr="00786A47">
        <w:rPr>
          <w:rFonts w:eastAsia="Times New Roman"/>
          <w:lang w:val="en-GB" w:eastAsia="en-AU"/>
        </w:rPr>
        <w:t>Typical examples of directly funded projects would include the Department of Defence constructing a new military facility or another agency arranging for the construction of a new office or a fit out of an existing building.</w:t>
      </w:r>
    </w:p>
    <w:p w14:paraId="27AC1F3D" w14:textId="77777777" w:rsidR="00291EA2" w:rsidRPr="00786A47" w:rsidRDefault="00291EA2" w:rsidP="003571F3">
      <w:r w:rsidRPr="00786A47">
        <w:rPr>
          <w:rFonts w:eastAsia="Times New Roman"/>
          <w:lang w:val="en-GB" w:eastAsia="en-AU"/>
        </w:rPr>
        <w:t xml:space="preserve">An accredited builder must be engaged for all building work directly funded by the Commonwealth with a contract value of $4 million or more (GST Inclusive). </w:t>
      </w:r>
    </w:p>
    <w:p w14:paraId="11374161" w14:textId="77777777" w:rsidR="00291EA2" w:rsidRPr="00786A47" w:rsidRDefault="00291EA2" w:rsidP="003571F3">
      <w:pPr>
        <w:pStyle w:val="Heading1"/>
      </w:pPr>
      <w:r w:rsidRPr="00786A47">
        <w:lastRenderedPageBreak/>
        <w:t xml:space="preserve">What is indirectly funded building work? </w:t>
      </w:r>
    </w:p>
    <w:p w14:paraId="0FD3CE07" w14:textId="77777777" w:rsidR="00291EA2" w:rsidRPr="00786A47" w:rsidRDefault="00291EA2" w:rsidP="003571F3">
      <w:pPr>
        <w:rPr>
          <w:rFonts w:eastAsia="Times New Roman"/>
          <w:lang w:val="en-GB" w:eastAsia="en-AU"/>
        </w:rPr>
      </w:pPr>
      <w:r w:rsidRPr="00786A47">
        <w:rPr>
          <w:rFonts w:eastAsia="Times New Roman"/>
          <w:lang w:val="en-GB" w:eastAsia="en-AU"/>
        </w:rPr>
        <w:t>Building work is considered indirectly funded where the Australian Government contributes funding to a third party recipient, such as a state government, through funding agreements, grants or other programmes.</w:t>
      </w:r>
    </w:p>
    <w:p w14:paraId="4B93A754" w14:textId="77777777" w:rsidR="00291EA2" w:rsidRPr="00786A47" w:rsidRDefault="00291EA2" w:rsidP="003571F3">
      <w:pPr>
        <w:rPr>
          <w:rFonts w:eastAsia="Times New Roman"/>
          <w:lang w:val="en-GB" w:eastAsia="en-AU"/>
        </w:rPr>
      </w:pPr>
      <w:r w:rsidRPr="00786A47">
        <w:rPr>
          <w:rFonts w:eastAsia="Times New Roman"/>
          <w:lang w:val="en-GB" w:eastAsia="en-AU"/>
        </w:rPr>
        <w:t>Some</w:t>
      </w:r>
      <w:r w:rsidR="00786A47" w:rsidRPr="00786A47">
        <w:rPr>
          <w:rFonts w:eastAsia="Times New Roman"/>
          <w:lang w:val="en-GB" w:eastAsia="en-AU"/>
        </w:rPr>
        <w:t xml:space="preserve"> </w:t>
      </w:r>
      <w:r w:rsidRPr="00786A47">
        <w:rPr>
          <w:rFonts w:eastAsia="Times New Roman"/>
          <w:lang w:val="en-GB" w:eastAsia="en-AU"/>
        </w:rPr>
        <w:t>typical examples of indirectly funded building work would include the Australian Government providing funding to a state government to construct a road, or where the Australian Government provides funding to a university to construct a research facility.</w:t>
      </w:r>
    </w:p>
    <w:p w14:paraId="7A87119C" w14:textId="1296692F" w:rsidR="006203B5" w:rsidRPr="00786A47" w:rsidRDefault="00291EA2" w:rsidP="003571F3">
      <w:pPr>
        <w:rPr>
          <w:rFonts w:eastAsia="Times New Roman"/>
          <w:lang w:val="en-GB" w:eastAsia="en-AU"/>
        </w:rPr>
      </w:pPr>
      <w:r w:rsidRPr="00786A47">
        <w:rPr>
          <w:rFonts w:eastAsia="Times New Roman"/>
          <w:lang w:val="en-GB" w:eastAsia="en-AU"/>
        </w:rPr>
        <w:t xml:space="preserve">In each of these examples, agencies should note the obligation to comply with Scheme requirements provided for under the </w:t>
      </w:r>
      <w:r w:rsidR="005961DA">
        <w:rPr>
          <w:rFonts w:eastAsia="Times New Roman"/>
          <w:lang w:val="en-GB" w:eastAsia="en-AU"/>
        </w:rPr>
        <w:t>FSC</w:t>
      </w:r>
      <w:r w:rsidRPr="00786A47">
        <w:rPr>
          <w:rFonts w:eastAsia="Times New Roman"/>
          <w:lang w:val="en-GB" w:eastAsia="en-AU"/>
        </w:rPr>
        <w:t xml:space="preserve"> Act, remains with the Commonwealth funding agency. These obligations do not transfer to the third party (eg</w:t>
      </w:r>
      <w:r w:rsidR="00CF5C73">
        <w:rPr>
          <w:rFonts w:eastAsia="Times New Roman"/>
          <w:lang w:val="en-GB" w:eastAsia="en-AU"/>
        </w:rPr>
        <w:t>.</w:t>
      </w:r>
      <w:r w:rsidRPr="00786A47">
        <w:rPr>
          <w:rFonts w:eastAsia="Times New Roman"/>
          <w:lang w:val="en-GB" w:eastAsia="en-AU"/>
        </w:rPr>
        <w:t xml:space="preserve"> the state government) funding recipient along with the transfer of funds.</w:t>
      </w:r>
    </w:p>
    <w:p w14:paraId="2ABB948B" w14:textId="77777777" w:rsidR="00291EA2" w:rsidRPr="00786A47" w:rsidRDefault="00CF5C73" w:rsidP="003571F3">
      <w:pPr>
        <w:rPr>
          <w:rFonts w:eastAsia="Times New Roman" w:cstheme="minorHAnsi"/>
          <w:sz w:val="19"/>
          <w:szCs w:val="19"/>
          <w:lang w:val="en-GB" w:eastAsia="en-AU"/>
        </w:rPr>
      </w:pPr>
      <w:r w:rsidRPr="00660F97">
        <w:rPr>
          <w:lang w:val="en"/>
        </w:rPr>
        <w:t>The Scheme applies to projects that are indirectly funded by the Australian Government where</w:t>
      </w:r>
      <w:r>
        <w:rPr>
          <w:lang w:val="en"/>
        </w:rPr>
        <w:t xml:space="preserve"> a</w:t>
      </w:r>
      <w:r w:rsidRPr="00660F97">
        <w:rPr>
          <w:lang w:val="en"/>
        </w:rPr>
        <w:t xml:space="preserve"> head contract under the project includes building work of $4 million or more (GST inclusive) AND:</w:t>
      </w:r>
    </w:p>
    <w:p w14:paraId="793E7089" w14:textId="77777777" w:rsidR="00CF5C73" w:rsidRPr="0008589A" w:rsidRDefault="00CF5C73" w:rsidP="0008589A">
      <w:pPr>
        <w:pStyle w:val="ListParagraph"/>
        <w:numPr>
          <w:ilvl w:val="0"/>
          <w:numId w:val="23"/>
        </w:numPr>
        <w:rPr>
          <w:lang w:val="en"/>
        </w:rPr>
      </w:pPr>
      <w:r w:rsidRPr="0008589A">
        <w:rPr>
          <w:lang w:val="en"/>
        </w:rPr>
        <w:t xml:space="preserve">the value of the Australian Government contribution to the project is at least </w:t>
      </w:r>
      <w:r w:rsidR="008A2F9C">
        <w:rPr>
          <w:lang w:val="en"/>
        </w:rPr>
        <w:t xml:space="preserve">               </w:t>
      </w:r>
      <w:r w:rsidRPr="0008589A">
        <w:rPr>
          <w:lang w:val="en"/>
        </w:rPr>
        <w:t>$6 million (including GST) and represents at least 50 per cents of the total construction project; OR</w:t>
      </w:r>
    </w:p>
    <w:p w14:paraId="6B702204" w14:textId="77777777" w:rsidR="00291EA2" w:rsidRPr="0008589A" w:rsidRDefault="00CF5C73" w:rsidP="0008589A">
      <w:pPr>
        <w:pStyle w:val="ListParagraph"/>
        <w:numPr>
          <w:ilvl w:val="0"/>
          <w:numId w:val="23"/>
        </w:numPr>
        <w:rPr>
          <w:rFonts w:eastAsia="Times New Roman" w:cstheme="minorHAnsi"/>
          <w:sz w:val="19"/>
          <w:szCs w:val="19"/>
          <w:lang w:val="en-GB" w:eastAsia="en-AU"/>
        </w:rPr>
      </w:pPr>
      <w:r w:rsidRPr="0008589A">
        <w:rPr>
          <w:lang w:val="en"/>
        </w:rPr>
        <w:t>the Australian Government contribution to a project is $10 million (including GST) or more, irrespective of the proportion of Australian Government funding.</w:t>
      </w:r>
    </w:p>
    <w:p w14:paraId="47D5E32C" w14:textId="77777777" w:rsidR="00291EA2" w:rsidRPr="00786A47" w:rsidRDefault="00291EA2" w:rsidP="003571F3">
      <w:pPr>
        <w:pStyle w:val="Heading1"/>
      </w:pPr>
      <w:r w:rsidRPr="00786A47">
        <w:t xml:space="preserve">Joint venture arrangements  </w:t>
      </w:r>
    </w:p>
    <w:p w14:paraId="7378E23A" w14:textId="77777777" w:rsidR="00291EA2" w:rsidRPr="00786A47" w:rsidRDefault="00291EA2" w:rsidP="003571F3">
      <w:pPr>
        <w:rPr>
          <w:rFonts w:eastAsia="Times New Roman"/>
          <w:lang w:val="en-GB" w:eastAsia="en-AU"/>
        </w:rPr>
      </w:pPr>
      <w:r w:rsidRPr="00786A47">
        <w:rPr>
          <w:rFonts w:eastAsia="Times New Roman"/>
          <w:lang w:val="en-GB" w:eastAsia="en-AU"/>
        </w:rPr>
        <w:t>In joint venture arrangements only the person conducting ‘building work’ will require Scheme accreditation. Provisions apply for joint ventures that include both accredited and unaccredited builders, seeking to undertake Australian Government funded building work.</w:t>
      </w:r>
    </w:p>
    <w:p w14:paraId="7F8BC3B4" w14:textId="77777777" w:rsidR="00291EA2" w:rsidRPr="00786A47" w:rsidRDefault="00291EA2" w:rsidP="003571F3">
      <w:pPr>
        <w:rPr>
          <w:rFonts w:eastAsia="Times New Roman"/>
          <w:lang w:val="en-GB" w:eastAsia="en-AU"/>
        </w:rPr>
      </w:pPr>
      <w:r w:rsidRPr="00786A47">
        <w:rPr>
          <w:rFonts w:eastAsia="Times New Roman"/>
          <w:lang w:val="en-GB" w:eastAsia="en-AU"/>
        </w:rPr>
        <w:t xml:space="preserve">Agencies should note that parties to a joint venture arrangement that includes an unaccredited builder are required to provide certain undertakings to the Federal Safety Commissioner, before they may enter into a contract for building work. </w:t>
      </w:r>
    </w:p>
    <w:p w14:paraId="2FDFBB51" w14:textId="77777777" w:rsidR="00291EA2" w:rsidRPr="00786A47" w:rsidRDefault="00291EA2" w:rsidP="003571F3">
      <w:pPr>
        <w:rPr>
          <w:rFonts w:eastAsia="Times New Roman"/>
          <w:lang w:val="en-GB" w:eastAsia="en-AU"/>
        </w:rPr>
      </w:pPr>
      <w:r w:rsidRPr="00786A47">
        <w:rPr>
          <w:rFonts w:eastAsia="Times New Roman"/>
          <w:lang w:val="en-GB" w:eastAsia="en-AU"/>
        </w:rPr>
        <w:t xml:space="preserve">The Federal Safety Commissioner will provide written acknowledgement to the joint venture partners, that the required undertakings have been received. </w:t>
      </w:r>
    </w:p>
    <w:p w14:paraId="3521CDB2" w14:textId="77777777" w:rsidR="00291EA2" w:rsidRPr="00786A47" w:rsidRDefault="00291EA2" w:rsidP="003571F3">
      <w:r w:rsidRPr="00786A47">
        <w:t xml:space="preserve">For information on joint venture arrangements under the Scheme, please refer to the Fact Sheet on Joint Venture Arrangements or please contact the OFSC. </w:t>
      </w:r>
    </w:p>
    <w:p w14:paraId="6CDCF323" w14:textId="77777777" w:rsidR="00291EA2" w:rsidRPr="00786A47" w:rsidRDefault="00291EA2" w:rsidP="003571F3">
      <w:pPr>
        <w:pStyle w:val="Heading1"/>
      </w:pPr>
      <w:r w:rsidRPr="00786A47">
        <w:t xml:space="preserve">Model clauses  </w:t>
      </w:r>
    </w:p>
    <w:p w14:paraId="73687EDF" w14:textId="77777777" w:rsidR="00291EA2" w:rsidRPr="00786A47" w:rsidRDefault="00291EA2" w:rsidP="003571F3">
      <w:r w:rsidRPr="00786A47">
        <w:t xml:space="preserve">To assist agencies, the OFSC provides model clauses that Australian Government agencies, and where required, funding recipients and others, may include in tender, contract and funding agreement or grant documentation, to assist in meeting their obligations under the </w:t>
      </w:r>
      <w:r w:rsidR="007D66FF">
        <w:t xml:space="preserve">BCIIP </w:t>
      </w:r>
      <w:r w:rsidRPr="00786A47">
        <w:t xml:space="preserve">Act and the Scheme. </w:t>
      </w:r>
    </w:p>
    <w:p w14:paraId="0AD82647" w14:textId="77777777" w:rsidR="00291EA2" w:rsidRPr="00786A47" w:rsidRDefault="00291EA2" w:rsidP="003571F3">
      <w:r w:rsidRPr="00786A47">
        <w:t>Agencies should note that while the model clauses are recommended, they are not mandatory. Australian Government agencies, funding recipients and others may substitute these model clauses with their own, providing that the replacement clauses achieve at least the same effect of the model clause. The OFSC</w:t>
      </w:r>
      <w:r w:rsidR="00786A47" w:rsidRPr="00786A47">
        <w:t xml:space="preserve"> model clauses are available at </w:t>
      </w:r>
      <w:hyperlink r:id="rId19" w:history="1">
        <w:r w:rsidR="00786A47" w:rsidRPr="00786A47">
          <w:rPr>
            <w:rStyle w:val="Hyperlink"/>
            <w:sz w:val="19"/>
            <w:szCs w:val="19"/>
          </w:rPr>
          <w:t>www.fsc.gov.au</w:t>
        </w:r>
      </w:hyperlink>
      <w:r w:rsidR="00786A47" w:rsidRPr="00786A47">
        <w:t xml:space="preserve">. </w:t>
      </w:r>
    </w:p>
    <w:p w14:paraId="21412F9C" w14:textId="77777777" w:rsidR="00291EA2" w:rsidRPr="00786A47" w:rsidRDefault="00291EA2" w:rsidP="003571F3">
      <w:pPr>
        <w:pStyle w:val="Heading1"/>
      </w:pPr>
      <w:r w:rsidRPr="00786A47">
        <w:t>Contract notification</w:t>
      </w:r>
    </w:p>
    <w:p w14:paraId="5CCC47E4" w14:textId="77777777" w:rsidR="00291EA2" w:rsidRPr="00786A47" w:rsidRDefault="00291EA2" w:rsidP="003571F3">
      <w:pPr>
        <w:rPr>
          <w:lang w:val="en-GB"/>
        </w:rPr>
      </w:pPr>
      <w:r w:rsidRPr="00786A47">
        <w:rPr>
          <w:lang w:val="en-GB"/>
        </w:rPr>
        <w:t>Agencies are encouraged to notify the OFSC about the engagement of a successful builder after completing a procurement process, by completing a ‘Client Agency Contract Notification Form’. This form and additional information on contract notifications are available on</w:t>
      </w:r>
      <w:r w:rsidR="00786A47" w:rsidRPr="00786A47">
        <w:rPr>
          <w:lang w:val="en-GB"/>
        </w:rPr>
        <w:t xml:space="preserve"> the OFSC’s website at </w:t>
      </w:r>
      <w:hyperlink r:id="rId20" w:history="1">
        <w:r w:rsidR="00786A47" w:rsidRPr="00786A47">
          <w:rPr>
            <w:rStyle w:val="Hyperlink"/>
            <w:rFonts w:cstheme="minorHAnsi"/>
            <w:sz w:val="19"/>
            <w:szCs w:val="19"/>
            <w:lang w:val="en-GB"/>
          </w:rPr>
          <w:t>www.fsc.gov.au</w:t>
        </w:r>
      </w:hyperlink>
      <w:r w:rsidR="00786A47" w:rsidRPr="00786A47">
        <w:rPr>
          <w:lang w:val="en-GB"/>
        </w:rPr>
        <w:t>.</w:t>
      </w:r>
    </w:p>
    <w:p w14:paraId="23EED5F7" w14:textId="77777777" w:rsidR="00291EA2" w:rsidRPr="00786A47" w:rsidRDefault="00291EA2" w:rsidP="003571F3">
      <w:pPr>
        <w:pStyle w:val="Heading1"/>
      </w:pPr>
      <w:r w:rsidRPr="00786A47">
        <w:t>Early notification of tenders</w:t>
      </w:r>
    </w:p>
    <w:p w14:paraId="1C9319EF" w14:textId="77777777" w:rsidR="00A60812" w:rsidRDefault="00291EA2" w:rsidP="003571F3">
      <w:pPr>
        <w:rPr>
          <w:rFonts w:eastAsia="Times New Roman"/>
          <w:lang w:val="en-GB" w:eastAsia="en-AU"/>
        </w:rPr>
      </w:pPr>
      <w:r w:rsidRPr="00786A47">
        <w:rPr>
          <w:rFonts w:eastAsia="Times New Roman"/>
          <w:lang w:val="en-GB" w:eastAsia="en-AU"/>
        </w:rPr>
        <w:t xml:space="preserve">One recommendation arising from the 2014 review of the Scheme is that agencies will be required to provide advance notice of upcoming tenders and, commencement of Scheme tender processes, and actively assist in ensuring adherence to Scheme requirements. </w:t>
      </w:r>
    </w:p>
    <w:p w14:paraId="525697F3" w14:textId="77777777" w:rsidR="00291EA2" w:rsidRPr="00786A47" w:rsidRDefault="00291EA2" w:rsidP="003571F3">
      <w:pPr>
        <w:rPr>
          <w:rFonts w:eastAsia="Times New Roman"/>
          <w:lang w:val="en-GB" w:eastAsia="en-AU"/>
        </w:rPr>
      </w:pPr>
      <w:r w:rsidRPr="00786A47">
        <w:rPr>
          <w:rFonts w:eastAsia="Times New Roman"/>
          <w:lang w:val="en-GB" w:eastAsia="en-AU"/>
        </w:rPr>
        <w:t>The objective of this agency obligation is to allow the OFSC to better target its educational and communication resources to areas wh</w:t>
      </w:r>
      <w:r w:rsidR="00552B42">
        <w:rPr>
          <w:rFonts w:eastAsia="Times New Roman"/>
          <w:lang w:val="en-GB" w:eastAsia="en-AU"/>
        </w:rPr>
        <w:t xml:space="preserve">ere high volume of Commonwealth </w:t>
      </w:r>
      <w:r w:rsidRPr="00786A47">
        <w:rPr>
          <w:rFonts w:eastAsia="Times New Roman"/>
          <w:lang w:val="en-GB" w:eastAsia="en-AU"/>
        </w:rPr>
        <w:t xml:space="preserve">funded building and construction work is </w:t>
      </w:r>
      <w:r w:rsidRPr="003571F3">
        <w:t>expected to occur. This will assist agencies by ensuring the availability of Scheme accredited builders</w:t>
      </w:r>
      <w:r w:rsidRPr="00786A47">
        <w:rPr>
          <w:rFonts w:eastAsia="Times New Roman"/>
          <w:lang w:val="en-GB" w:eastAsia="en-AU"/>
        </w:rPr>
        <w:t xml:space="preserve">, particularly in regional and </w:t>
      </w:r>
      <w:r w:rsidR="00453EEF">
        <w:rPr>
          <w:noProof/>
          <w:lang w:eastAsia="en-AU"/>
        </w:rPr>
        <mc:AlternateContent>
          <mc:Choice Requires="wps">
            <w:drawing>
              <wp:anchor distT="0" distB="0" distL="114300" distR="114300" simplePos="0" relativeHeight="251658240" behindDoc="1" locked="0" layoutInCell="1" allowOverlap="1" wp14:anchorId="6C620DFC" wp14:editId="08BF5B1C">
                <wp:simplePos x="0" y="0"/>
                <wp:positionH relativeFrom="margin">
                  <wp:posOffset>3033395</wp:posOffset>
                </wp:positionH>
                <wp:positionV relativeFrom="paragraph">
                  <wp:posOffset>-635</wp:posOffset>
                </wp:positionV>
                <wp:extent cx="2695575" cy="3486150"/>
                <wp:effectExtent l="0" t="0" r="28575" b="19050"/>
                <wp:wrapTight wrapText="bothSides">
                  <wp:wrapPolygon edited="0">
                    <wp:start x="0" y="0"/>
                    <wp:lineTo x="0" y="21600"/>
                    <wp:lineTo x="21676" y="21600"/>
                    <wp:lineTo x="21676" y="0"/>
                    <wp:lineTo x="0" y="0"/>
                  </wp:wrapPolygon>
                </wp:wrapTight>
                <wp:docPr id="56" name="Text Box 56"/>
                <wp:cNvGraphicFramePr/>
                <a:graphic xmlns:a="http://schemas.openxmlformats.org/drawingml/2006/main">
                  <a:graphicData uri="http://schemas.microsoft.com/office/word/2010/wordprocessingShape">
                    <wps:wsp>
                      <wps:cNvSpPr txBox="1"/>
                      <wps:spPr>
                        <a:xfrm>
                          <a:off x="0" y="0"/>
                          <a:ext cx="2695575" cy="3486150"/>
                        </a:xfrm>
                        <a:prstGeom prst="rect">
                          <a:avLst/>
                        </a:prstGeom>
                        <a:noFill/>
                        <a:ln w="6350">
                          <a:solidFill>
                            <a:srgbClr val="C00000"/>
                          </a:solidFill>
                        </a:ln>
                      </wps:spPr>
                      <wps:txbx>
                        <w:txbxContent>
                          <w:p w14:paraId="135D1C3D" w14:textId="77777777" w:rsidR="00CF5C73" w:rsidRPr="009C1375" w:rsidRDefault="00CF5C73" w:rsidP="003571F3">
                            <w:r w:rsidRPr="009C1375">
                              <w:t>T</w:t>
                            </w:r>
                            <w:r w:rsidR="00FA450D">
                              <w:t>hi</w:t>
                            </w:r>
                            <w:r w:rsidR="00A071CC">
                              <w:t xml:space="preserve">s fact sheet was last updated 16 </w:t>
                            </w:r>
                            <w:r w:rsidR="00830390">
                              <w:t>January</w:t>
                            </w:r>
                            <w:r w:rsidR="00A071CC">
                              <w:t xml:space="preserve"> 2020</w:t>
                            </w:r>
                            <w:r w:rsidRPr="009C1375">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20DFC" id="_x0000_t202" coordsize="21600,21600" o:spt="202" path="m,l,21600r21600,l21600,xe">
                <v:stroke joinstyle="miter"/>
                <v:path gradientshapeok="t" o:connecttype="rect"/>
              </v:shapetype>
              <v:shape id="Text Box 56" o:spid="_x0000_s1026" type="#_x0000_t202" style="position:absolute;left:0;text-align:left;margin-left:238.85pt;margin-top:-.05pt;width:212.25pt;height:27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" filled="f" strokecolor="#c00000" strokeweight=".5pt">
                <v:textbox>
                  <w:txbxContent>
                    <w:p w14:paraId="135D1C3D" w14:textId="77777777" w:rsidR="00CF5C73" w:rsidRPr="009C1375" w:rsidRDefault="00CF5C73" w:rsidP="003571F3">
                      <w:r w:rsidRPr="009C1375">
                        <w:t>T</w:t>
                      </w:r>
                      <w:r w:rsidR="00FA450D">
                        <w:t>hi</w:t>
                      </w:r>
                      <w:r w:rsidR="00A071CC">
                        <w:t xml:space="preserve">s fact sheet was last updated 16 </w:t>
                      </w:r>
                      <w:r w:rsidR="00830390">
                        <w:t>January</w:t>
                      </w:r>
                      <w:r w:rsidR="00A071CC">
                        <w:t xml:space="preserve"> 2020</w:t>
                      </w:r>
                      <w:r w:rsidRPr="009C1375">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v:textbox>
                <w10:wrap type="tight" anchorx="margin"/>
              </v:shape>
            </w:pict>
          </mc:Fallback>
        </mc:AlternateContent>
      </w:r>
      <w:r w:rsidRPr="00786A47">
        <w:rPr>
          <w:rFonts w:eastAsia="Times New Roman"/>
          <w:lang w:val="en-GB" w:eastAsia="en-AU"/>
        </w:rPr>
        <w:t xml:space="preserve">remote regions, where identifying an accredited builder has been historically difficult for agencies.  </w:t>
      </w:r>
    </w:p>
    <w:p w14:paraId="5F1032F9" w14:textId="77777777" w:rsidR="00291EA2" w:rsidRPr="00786A47" w:rsidRDefault="003571F3" w:rsidP="003571F3">
      <w:pPr>
        <w:rPr>
          <w:rFonts w:eastAsia="Times New Roman"/>
          <w:lang w:val="en-GB" w:eastAsia="en-AU"/>
        </w:rPr>
      </w:pPr>
      <w:r>
        <w:rPr>
          <w:rFonts w:cstheme="minorHAnsi"/>
          <w:noProof/>
          <w:lang w:eastAsia="en-AU"/>
        </w:rPr>
        <mc:AlternateContent>
          <mc:Choice Requires="wps">
            <w:drawing>
              <wp:anchor distT="0" distB="0" distL="114300" distR="114300" simplePos="0" relativeHeight="251659264" behindDoc="1" locked="0" layoutInCell="1" allowOverlap="1" wp14:anchorId="3016FDA4" wp14:editId="7D0D4674">
                <wp:simplePos x="0" y="0"/>
                <wp:positionH relativeFrom="margin">
                  <wp:posOffset>24765</wp:posOffset>
                </wp:positionH>
                <wp:positionV relativeFrom="paragraph">
                  <wp:posOffset>1177925</wp:posOffset>
                </wp:positionV>
                <wp:extent cx="2705100" cy="1200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05100" cy="1200150"/>
                        </a:xfrm>
                        <a:prstGeom prst="rect">
                          <a:avLst/>
                        </a:prstGeom>
                        <a:solidFill>
                          <a:schemeClr val="bg1">
                            <a:lumMod val="20000"/>
                            <a:lumOff val="80000"/>
                          </a:schemeClr>
                        </a:solidFill>
                        <a:ln w="6350">
                          <a:noFill/>
                        </a:ln>
                      </wps:spPr>
                      <wps:txbx>
                        <w:txbxContent>
                          <w:p w14:paraId="05C835C3" w14:textId="77777777" w:rsidR="003571F3" w:rsidRPr="00DB79B9" w:rsidRDefault="003571F3" w:rsidP="003571F3">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6CC328D1" w14:textId="77777777" w:rsidR="003571F3" w:rsidRPr="00DB79B9" w:rsidRDefault="003571F3" w:rsidP="003571F3">
                            <w:pPr>
                              <w:pStyle w:val="ListParagraph"/>
                              <w:numPr>
                                <w:ilvl w:val="0"/>
                                <w:numId w:val="19"/>
                              </w:numPr>
                              <w:spacing w:line="240" w:lineRule="auto"/>
                              <w:ind w:left="284" w:hanging="284"/>
                              <w:jc w:val="left"/>
                              <w:rPr>
                                <w:szCs w:val="20"/>
                              </w:rPr>
                            </w:pPr>
                            <w:r w:rsidRPr="00DB79B9">
                              <w:rPr>
                                <w:szCs w:val="20"/>
                              </w:rPr>
                              <w:t xml:space="preserve">Visit the FSC website at </w:t>
                            </w:r>
                            <w:r w:rsidRPr="00250412">
                              <w:rPr>
                                <w:b/>
                                <w:szCs w:val="20"/>
                              </w:rPr>
                              <w:t>www.fsc</w:t>
                            </w:r>
                            <w:r w:rsidRPr="00DB79B9">
                              <w:rPr>
                                <w:b/>
                                <w:szCs w:val="20"/>
                              </w:rPr>
                              <w:t>.gov.au</w:t>
                            </w:r>
                          </w:p>
                          <w:p w14:paraId="1601D5DC" w14:textId="5329FA8C" w:rsidR="003571F3" w:rsidRPr="00DB79B9" w:rsidRDefault="003571F3" w:rsidP="003571F3">
                            <w:pPr>
                              <w:pStyle w:val="ListParagraph"/>
                              <w:numPr>
                                <w:ilvl w:val="0"/>
                                <w:numId w:val="19"/>
                              </w:numPr>
                              <w:spacing w:line="240" w:lineRule="auto"/>
                              <w:ind w:left="284" w:hanging="284"/>
                              <w:jc w:val="left"/>
                              <w:rPr>
                                <w:szCs w:val="20"/>
                              </w:rPr>
                            </w:pPr>
                            <w:r w:rsidRPr="00DB79B9">
                              <w:rPr>
                                <w:szCs w:val="20"/>
                              </w:rPr>
                              <w:t xml:space="preserve">Contact the FSC Assist Line on </w:t>
                            </w:r>
                            <w:r w:rsidRPr="00DB79B9">
                              <w:rPr>
                                <w:b/>
                                <w:szCs w:val="20"/>
                              </w:rPr>
                              <w:t>1800 652 500</w:t>
                            </w:r>
                          </w:p>
                          <w:p w14:paraId="5F761D2E" w14:textId="58F32D1C" w:rsidR="003571F3" w:rsidRPr="00DB79B9" w:rsidRDefault="003571F3" w:rsidP="003571F3">
                            <w:pPr>
                              <w:pStyle w:val="ListParagraph"/>
                              <w:numPr>
                                <w:ilvl w:val="0"/>
                                <w:numId w:val="19"/>
                              </w:numPr>
                              <w:spacing w:line="240" w:lineRule="auto"/>
                              <w:ind w:left="284" w:hanging="284"/>
                              <w:jc w:val="left"/>
                              <w:rPr>
                                <w:szCs w:val="20"/>
                              </w:rPr>
                            </w:pPr>
                            <w:r w:rsidRPr="00DB79B9">
                              <w:rPr>
                                <w:szCs w:val="20"/>
                              </w:rPr>
                              <w:t xml:space="preserve">Contact the OFSC via email at </w:t>
                            </w:r>
                            <w:r w:rsidRPr="00DB79B9">
                              <w:rPr>
                                <w:b/>
                                <w:szCs w:val="20"/>
                              </w:rPr>
                              <w:t>ofsc@</w:t>
                            </w:r>
                            <w:r w:rsidR="009B6777">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6FDA4" id="Text Box 1" o:spid="_x0000_s1027" type="#_x0000_t202" style="position:absolute;left:0;text-align:left;margin-left:1.95pt;margin-top:92.75pt;width:213pt;height: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" fillcolor="#e5e5e5 [668]" stroked="f" strokeweight=".5pt">
                <v:textbox>
                  <w:txbxContent>
                    <w:p w14:paraId="05C835C3" w14:textId="77777777" w:rsidR="003571F3" w:rsidRPr="00DB79B9" w:rsidRDefault="003571F3" w:rsidP="003571F3">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6CC328D1" w14:textId="77777777" w:rsidR="003571F3" w:rsidRPr="00DB79B9" w:rsidRDefault="003571F3" w:rsidP="003571F3">
                      <w:pPr>
                        <w:pStyle w:val="ListParagraph"/>
                        <w:numPr>
                          <w:ilvl w:val="0"/>
                          <w:numId w:val="19"/>
                        </w:numPr>
                        <w:spacing w:line="240" w:lineRule="auto"/>
                        <w:ind w:left="284" w:hanging="284"/>
                        <w:jc w:val="left"/>
                        <w:rPr>
                          <w:szCs w:val="20"/>
                        </w:rPr>
                      </w:pPr>
                      <w:r w:rsidRPr="00DB79B9">
                        <w:rPr>
                          <w:szCs w:val="20"/>
                        </w:rPr>
                        <w:t xml:space="preserve">Visit the FSC website at </w:t>
                      </w:r>
                      <w:r w:rsidRPr="00250412">
                        <w:rPr>
                          <w:b/>
                          <w:szCs w:val="20"/>
                        </w:rPr>
                        <w:t>www.fsc</w:t>
                      </w:r>
                      <w:r w:rsidRPr="00DB79B9">
                        <w:rPr>
                          <w:b/>
                          <w:szCs w:val="20"/>
                        </w:rPr>
                        <w:t>.gov.au</w:t>
                      </w:r>
                    </w:p>
                    <w:p w14:paraId="1601D5DC" w14:textId="5329FA8C" w:rsidR="003571F3" w:rsidRPr="00DB79B9" w:rsidRDefault="003571F3" w:rsidP="003571F3">
                      <w:pPr>
                        <w:pStyle w:val="ListParagraph"/>
                        <w:numPr>
                          <w:ilvl w:val="0"/>
                          <w:numId w:val="19"/>
                        </w:numPr>
                        <w:spacing w:line="240" w:lineRule="auto"/>
                        <w:ind w:left="284" w:hanging="284"/>
                        <w:jc w:val="left"/>
                        <w:rPr>
                          <w:szCs w:val="20"/>
                        </w:rPr>
                      </w:pPr>
                      <w:r w:rsidRPr="00DB79B9">
                        <w:rPr>
                          <w:szCs w:val="20"/>
                        </w:rPr>
                        <w:t xml:space="preserve">Contact the FSC Assist Line on </w:t>
                      </w:r>
                      <w:r w:rsidRPr="00DB79B9">
                        <w:rPr>
                          <w:b/>
                          <w:szCs w:val="20"/>
                        </w:rPr>
                        <w:t>1800 652 500</w:t>
                      </w:r>
                    </w:p>
                    <w:p w14:paraId="5F761D2E" w14:textId="58F32D1C" w:rsidR="003571F3" w:rsidRPr="00DB79B9" w:rsidRDefault="003571F3" w:rsidP="003571F3">
                      <w:pPr>
                        <w:pStyle w:val="ListParagraph"/>
                        <w:numPr>
                          <w:ilvl w:val="0"/>
                          <w:numId w:val="19"/>
                        </w:numPr>
                        <w:spacing w:line="240" w:lineRule="auto"/>
                        <w:ind w:left="284" w:hanging="284"/>
                        <w:jc w:val="left"/>
                        <w:rPr>
                          <w:szCs w:val="20"/>
                        </w:rPr>
                      </w:pPr>
                      <w:r w:rsidRPr="00DB79B9">
                        <w:rPr>
                          <w:szCs w:val="20"/>
                        </w:rPr>
                        <w:t xml:space="preserve">Contact the OFSC via email at </w:t>
                      </w:r>
                      <w:r w:rsidRPr="00DB79B9">
                        <w:rPr>
                          <w:b/>
                          <w:szCs w:val="20"/>
                        </w:rPr>
                        <w:t>ofsc@</w:t>
                      </w:r>
                      <w:r w:rsidR="009B6777">
                        <w:rPr>
                          <w:b/>
                          <w:szCs w:val="20"/>
                        </w:rPr>
                        <w:t>dewr.gov.au</w:t>
                      </w:r>
                    </w:p>
                  </w:txbxContent>
                </v:textbox>
                <w10:wrap anchorx="margin"/>
              </v:shape>
            </w:pict>
          </mc:Fallback>
        </mc:AlternateContent>
      </w:r>
      <w:r w:rsidR="00291EA2" w:rsidRPr="00786A47">
        <w:rPr>
          <w:rFonts w:eastAsia="Times New Roman"/>
          <w:lang w:val="en-GB" w:eastAsia="en-AU"/>
        </w:rPr>
        <w:t>The OFSC will work with agencies to develop mechanisms to collect upcoming tender information that is practical and efficient, noting that in many cases it will be necessary for funding agencies to obtain information about procurement processes from their respective funding recipients.</w:t>
      </w:r>
    </w:p>
    <w:p w14:paraId="0B80514D" w14:textId="77777777" w:rsidR="00291EA2" w:rsidRPr="00786A47" w:rsidRDefault="00291EA2" w:rsidP="003571F3">
      <w:pPr>
        <w:rPr>
          <w:lang w:val="en-GB" w:eastAsia="en-AU"/>
        </w:rPr>
      </w:pPr>
    </w:p>
    <w:bookmarkEnd w:id="0"/>
    <w:p w14:paraId="54BBBE74" w14:textId="77777777" w:rsidR="004C5911" w:rsidRPr="00786A47" w:rsidRDefault="004C5911" w:rsidP="003571F3"/>
    <w:sectPr w:rsidR="004C5911" w:rsidRPr="00786A47" w:rsidSect="003571F3">
      <w:headerReference w:type="default" r:id="rId21"/>
      <w:footerReference w:type="default" r:id="rId22"/>
      <w:type w:val="continuous"/>
      <w:pgSz w:w="11906" w:h="16838"/>
      <w:pgMar w:top="1560" w:right="1274" w:bottom="1440" w:left="1418" w:header="708" w:footer="405" w:gutter="0"/>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56B58" w14:textId="77777777" w:rsidR="000D51C9" w:rsidRDefault="000D51C9" w:rsidP="003571F3">
      <w:r>
        <w:separator/>
      </w:r>
    </w:p>
  </w:endnote>
  <w:endnote w:type="continuationSeparator" w:id="0">
    <w:p w14:paraId="20D0C298" w14:textId="77777777" w:rsidR="000D51C9" w:rsidRDefault="000D51C9" w:rsidP="0035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9651" w14:textId="77777777" w:rsidR="00D82CE4" w:rsidRDefault="00D82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B8B8" w14:textId="77777777" w:rsidR="003242B9" w:rsidRPr="000B1D63" w:rsidRDefault="000B1D63" w:rsidP="003571F3">
    <w:pPr>
      <w:pStyle w:val="Footer"/>
      <w:rPr>
        <w:noProof/>
      </w:rPr>
    </w:pPr>
    <w:r>
      <w:rPr>
        <w:noProof/>
        <w:lang w:eastAsia="en-AU"/>
      </w:rPr>
      <w:drawing>
        <wp:anchor distT="0" distB="0" distL="114300" distR="114300" simplePos="0" relativeHeight="251658240" behindDoc="1" locked="0" layoutInCell="1" allowOverlap="1" wp14:anchorId="0131590E" wp14:editId="5D32320B">
          <wp:simplePos x="0" y="0"/>
          <wp:positionH relativeFrom="column">
            <wp:posOffset>-151130</wp:posOffset>
          </wp:positionH>
          <wp:positionV relativeFrom="paragraph">
            <wp:posOffset>-49530</wp:posOffset>
          </wp:positionV>
          <wp:extent cx="7663180" cy="7061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7C8F" w14:textId="77777777" w:rsidR="00D82CE4" w:rsidRDefault="00D82C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D98E" w14:textId="77777777" w:rsidR="003242B9" w:rsidRDefault="00A60812" w:rsidP="003571F3">
    <w:pPr>
      <w:pStyle w:val="Footer"/>
    </w:pPr>
    <w:r>
      <w:rPr>
        <w:noProof/>
        <w:lang w:eastAsia="en-AU"/>
      </w:rPr>
      <w:drawing>
        <wp:anchor distT="0" distB="0" distL="114300" distR="114300" simplePos="0" relativeHeight="251662848" behindDoc="1" locked="0" layoutInCell="1" allowOverlap="1" wp14:anchorId="69B6C688" wp14:editId="23EB4259">
          <wp:simplePos x="0" y="0"/>
          <wp:positionH relativeFrom="column">
            <wp:posOffset>-890905</wp:posOffset>
          </wp:positionH>
          <wp:positionV relativeFrom="paragraph">
            <wp:posOffset>-316865</wp:posOffset>
          </wp:positionV>
          <wp:extent cx="7663180" cy="7810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8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D418" w14:textId="77777777" w:rsidR="000D51C9" w:rsidRDefault="000D51C9" w:rsidP="003571F3">
      <w:r>
        <w:separator/>
      </w:r>
    </w:p>
  </w:footnote>
  <w:footnote w:type="continuationSeparator" w:id="0">
    <w:p w14:paraId="32A8A860" w14:textId="77777777" w:rsidR="000D51C9" w:rsidRDefault="000D51C9" w:rsidP="00357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1E43" w14:textId="77777777" w:rsidR="00D82CE4" w:rsidRDefault="00D82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C66C" w14:textId="77777777" w:rsidR="00D82CE4" w:rsidRDefault="00D82C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DEE6" w14:textId="77777777" w:rsidR="00D82CE4" w:rsidRDefault="00D82C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A573" w14:textId="77777777" w:rsidR="00560CA0" w:rsidRDefault="003571F3" w:rsidP="003571F3">
    <w:pPr>
      <w:pStyle w:val="Header"/>
      <w:jc w:val="right"/>
    </w:pPr>
    <w:r>
      <w:t>Fact Sheet – Advice to Agencies: Applying the Work Health and Safety Accreditation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CD11AF"/>
    <w:multiLevelType w:val="hybridMultilevel"/>
    <w:tmpl w:val="8F506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4336C31"/>
    <w:multiLevelType w:val="multilevel"/>
    <w:tmpl w:val="CF02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600C6A4E"/>
    <w:multiLevelType w:val="hybridMultilevel"/>
    <w:tmpl w:val="167AC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4507310">
    <w:abstractNumId w:val="17"/>
  </w:num>
  <w:num w:numId="2" w16cid:durableId="1826821432">
    <w:abstractNumId w:val="7"/>
  </w:num>
  <w:num w:numId="3" w16cid:durableId="1679500747">
    <w:abstractNumId w:val="6"/>
  </w:num>
  <w:num w:numId="4" w16cid:durableId="508369881">
    <w:abstractNumId w:val="5"/>
  </w:num>
  <w:num w:numId="5" w16cid:durableId="1600719702">
    <w:abstractNumId w:val="4"/>
  </w:num>
  <w:num w:numId="6" w16cid:durableId="641620200">
    <w:abstractNumId w:val="8"/>
  </w:num>
  <w:num w:numId="7" w16cid:durableId="1904875428">
    <w:abstractNumId w:val="3"/>
  </w:num>
  <w:num w:numId="8" w16cid:durableId="2041666413">
    <w:abstractNumId w:val="2"/>
  </w:num>
  <w:num w:numId="9" w16cid:durableId="1317877820">
    <w:abstractNumId w:val="1"/>
  </w:num>
  <w:num w:numId="10" w16cid:durableId="598680490">
    <w:abstractNumId w:val="0"/>
  </w:num>
  <w:num w:numId="11" w16cid:durableId="984550333">
    <w:abstractNumId w:val="12"/>
  </w:num>
  <w:num w:numId="12" w16cid:durableId="13127840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5982337">
    <w:abstractNumId w:val="9"/>
  </w:num>
  <w:num w:numId="14" w16cid:durableId="1741293170">
    <w:abstractNumId w:val="19"/>
  </w:num>
  <w:num w:numId="15" w16cid:durableId="822157537">
    <w:abstractNumId w:val="10"/>
  </w:num>
  <w:num w:numId="16" w16cid:durableId="515537577">
    <w:abstractNumId w:val="15"/>
  </w:num>
  <w:num w:numId="17" w16cid:durableId="12503126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78555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0544742">
    <w:abstractNumId w:val="13"/>
  </w:num>
  <w:num w:numId="20" w16cid:durableId="1145203194">
    <w:abstractNumId w:val="16"/>
  </w:num>
  <w:num w:numId="21" w16cid:durableId="694844916">
    <w:abstractNumId w:val="11"/>
  </w:num>
  <w:num w:numId="22" w16cid:durableId="13386064">
    <w:abstractNumId w:val="18"/>
  </w:num>
  <w:num w:numId="23" w16cid:durableId="10693061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60C3B"/>
    <w:rsid w:val="0008589A"/>
    <w:rsid w:val="000861A6"/>
    <w:rsid w:val="00087412"/>
    <w:rsid w:val="000B1D63"/>
    <w:rsid w:val="000D51C9"/>
    <w:rsid w:val="000E6FBB"/>
    <w:rsid w:val="000F3BA2"/>
    <w:rsid w:val="001175BF"/>
    <w:rsid w:val="00130923"/>
    <w:rsid w:val="001414F3"/>
    <w:rsid w:val="00143FCD"/>
    <w:rsid w:val="001B6467"/>
    <w:rsid w:val="00223EB1"/>
    <w:rsid w:val="00236917"/>
    <w:rsid w:val="00243D6B"/>
    <w:rsid w:val="002854D6"/>
    <w:rsid w:val="00291EA2"/>
    <w:rsid w:val="002B06E6"/>
    <w:rsid w:val="002B555E"/>
    <w:rsid w:val="002C0007"/>
    <w:rsid w:val="002D271F"/>
    <w:rsid w:val="002D6386"/>
    <w:rsid w:val="00305B35"/>
    <w:rsid w:val="003242B9"/>
    <w:rsid w:val="003571F3"/>
    <w:rsid w:val="00367BAD"/>
    <w:rsid w:val="003A31E3"/>
    <w:rsid w:val="003A431D"/>
    <w:rsid w:val="003D67FC"/>
    <w:rsid w:val="00406E5A"/>
    <w:rsid w:val="00453EEF"/>
    <w:rsid w:val="00455B34"/>
    <w:rsid w:val="00455C0E"/>
    <w:rsid w:val="0048762C"/>
    <w:rsid w:val="004B256F"/>
    <w:rsid w:val="004C22A8"/>
    <w:rsid w:val="004C5911"/>
    <w:rsid w:val="004C75F8"/>
    <w:rsid w:val="004D54E7"/>
    <w:rsid w:val="005113B6"/>
    <w:rsid w:val="00531817"/>
    <w:rsid w:val="00552B42"/>
    <w:rsid w:val="00560CA0"/>
    <w:rsid w:val="005624F3"/>
    <w:rsid w:val="005811EF"/>
    <w:rsid w:val="005961DA"/>
    <w:rsid w:val="005B0878"/>
    <w:rsid w:val="005C15C0"/>
    <w:rsid w:val="00610654"/>
    <w:rsid w:val="006203B5"/>
    <w:rsid w:val="0067026C"/>
    <w:rsid w:val="006A5BDD"/>
    <w:rsid w:val="006D7F4A"/>
    <w:rsid w:val="006E2D49"/>
    <w:rsid w:val="00711FB3"/>
    <w:rsid w:val="007468FC"/>
    <w:rsid w:val="00765ABB"/>
    <w:rsid w:val="00786A47"/>
    <w:rsid w:val="00792CA3"/>
    <w:rsid w:val="007B2FDD"/>
    <w:rsid w:val="007C1768"/>
    <w:rsid w:val="007D66FF"/>
    <w:rsid w:val="007F7F1E"/>
    <w:rsid w:val="00830390"/>
    <w:rsid w:val="0083468A"/>
    <w:rsid w:val="0084292A"/>
    <w:rsid w:val="00842D43"/>
    <w:rsid w:val="00856D1C"/>
    <w:rsid w:val="00867B9C"/>
    <w:rsid w:val="00876AC0"/>
    <w:rsid w:val="008A2F9C"/>
    <w:rsid w:val="00902999"/>
    <w:rsid w:val="009116EA"/>
    <w:rsid w:val="00923C84"/>
    <w:rsid w:val="00933671"/>
    <w:rsid w:val="00946150"/>
    <w:rsid w:val="00972DD5"/>
    <w:rsid w:val="00984879"/>
    <w:rsid w:val="00985632"/>
    <w:rsid w:val="00991B63"/>
    <w:rsid w:val="009B2428"/>
    <w:rsid w:val="009B5CB7"/>
    <w:rsid w:val="009B6777"/>
    <w:rsid w:val="009C165B"/>
    <w:rsid w:val="00A071CC"/>
    <w:rsid w:val="00A12B26"/>
    <w:rsid w:val="00A31242"/>
    <w:rsid w:val="00A52530"/>
    <w:rsid w:val="00A551BF"/>
    <w:rsid w:val="00A60812"/>
    <w:rsid w:val="00A70524"/>
    <w:rsid w:val="00A73406"/>
    <w:rsid w:val="00A904EC"/>
    <w:rsid w:val="00AC65DA"/>
    <w:rsid w:val="00B2722A"/>
    <w:rsid w:val="00B30E00"/>
    <w:rsid w:val="00B618BA"/>
    <w:rsid w:val="00BE43B1"/>
    <w:rsid w:val="00C05E74"/>
    <w:rsid w:val="00C10C19"/>
    <w:rsid w:val="00C35CA8"/>
    <w:rsid w:val="00C5649C"/>
    <w:rsid w:val="00C75486"/>
    <w:rsid w:val="00C8202C"/>
    <w:rsid w:val="00C92A5B"/>
    <w:rsid w:val="00CA3C13"/>
    <w:rsid w:val="00CA46EC"/>
    <w:rsid w:val="00CF5C73"/>
    <w:rsid w:val="00D1394D"/>
    <w:rsid w:val="00D82CE4"/>
    <w:rsid w:val="00D903FD"/>
    <w:rsid w:val="00D94BC5"/>
    <w:rsid w:val="00D96C08"/>
    <w:rsid w:val="00E55D38"/>
    <w:rsid w:val="00E579C4"/>
    <w:rsid w:val="00ED43D2"/>
    <w:rsid w:val="00EE3B8C"/>
    <w:rsid w:val="00EF4A38"/>
    <w:rsid w:val="00F236E8"/>
    <w:rsid w:val="00F5755C"/>
    <w:rsid w:val="00FA450D"/>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2DEAA1"/>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1F3"/>
    <w:pPr>
      <w:jc w:val="both"/>
    </w:pPr>
    <w:rPr>
      <w:sz w:val="20"/>
    </w:rPr>
  </w:style>
  <w:style w:type="paragraph" w:styleId="Heading1">
    <w:name w:val="heading 1"/>
    <w:basedOn w:val="OFSCHeading2"/>
    <w:next w:val="Normal"/>
    <w:link w:val="Heading1Char"/>
    <w:uiPriority w:val="9"/>
    <w:qFormat/>
    <w:rsid w:val="003571F3"/>
    <w:pPr>
      <w:spacing w:after="0" w:line="276" w:lineRule="auto"/>
      <w:outlineLvl w:val="0"/>
    </w:pPr>
    <w:rPr>
      <w:rFonts w:ascii="Calibri" w:eastAsiaTheme="majorEastAsia" w:hAnsi="Calibri" w:cstheme="majorBidi"/>
      <w:b/>
      <w:bCs/>
      <w:color w:val="auto"/>
      <w:sz w:val="32"/>
      <w:lang w:val="en-AU" w:eastAsia="en-US"/>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3571F3"/>
    <w:rPr>
      <w:rFonts w:ascii="Calibri" w:eastAsiaTheme="majorEastAsia" w:hAnsi="Calibri" w:cstheme="majorBidi"/>
      <w:b/>
      <w:bCs/>
      <w:sz w:val="32"/>
      <w:szCs w:val="26"/>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Bullets">
    <w:name w:val="OFSC Bullets"/>
    <w:basedOn w:val="Normal"/>
    <w:autoRedefine/>
    <w:rsid w:val="00291EA2"/>
    <w:pPr>
      <w:suppressAutoHyphens/>
      <w:autoSpaceDE w:val="0"/>
      <w:autoSpaceDN w:val="0"/>
      <w:adjustRightInd w:val="0"/>
      <w:spacing w:after="0" w:line="240" w:lineRule="auto"/>
      <w:textAlignment w:val="center"/>
    </w:pPr>
    <w:rPr>
      <w:rFonts w:eastAsia="Times New Roman" w:cstheme="minorHAnsi"/>
      <w:color w:val="000000"/>
      <w:sz w:val="19"/>
      <w:szCs w:val="19"/>
      <w:lang w:val="en-GB" w:eastAsia="en-AU"/>
    </w:rPr>
  </w:style>
  <w:style w:type="paragraph" w:customStyle="1" w:styleId="OFSCHeading2">
    <w:name w:val="OFSC Heading 2"/>
    <w:basedOn w:val="Normal"/>
    <w:qFormat/>
    <w:rsid w:val="00291EA2"/>
    <w:pPr>
      <w:suppressAutoHyphens/>
      <w:autoSpaceDE w:val="0"/>
      <w:autoSpaceDN w:val="0"/>
      <w:adjustRightInd w:val="0"/>
      <w:spacing w:after="100" w:line="240" w:lineRule="auto"/>
      <w:textAlignment w:val="center"/>
    </w:pPr>
    <w:rPr>
      <w:rFonts w:eastAsia="Times New Roman" w:cstheme="minorHAnsi"/>
      <w:color w:val="C00000"/>
      <w:sz w:val="26"/>
      <w:szCs w:val="26"/>
      <w:lang w:val="en-GB" w:eastAsia="en-AU"/>
    </w:rPr>
  </w:style>
  <w:style w:type="paragraph" w:styleId="NormalWeb">
    <w:name w:val="Normal (Web)"/>
    <w:basedOn w:val="Normal"/>
    <w:uiPriority w:val="99"/>
    <w:unhideWhenUsed/>
    <w:rsid w:val="00291EA2"/>
    <w:pPr>
      <w:spacing w:before="150" w:after="0" w:line="240" w:lineRule="auto"/>
    </w:pPr>
    <w:rPr>
      <w:rFonts w:ascii="Times New Roman" w:eastAsia="Times New Roman" w:hAnsi="Times New Roman" w:cs="Times New Roman"/>
      <w:color w:val="505050"/>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fsc.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fs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s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4.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CF5EEA"/>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E1EBA5BF-0372-46FD-A13F-87C3E3A69398}">
  <ds:schemaRefs>
    <ds:schemaRef ds:uri="http://schemas.openxmlformats.org/officeDocument/2006/bibliography"/>
  </ds:schemaRefs>
</ds:datastoreItem>
</file>

<file path=customXml/itemProps2.xml><?xml version="1.0" encoding="utf-8"?>
<ds:datastoreItem xmlns:ds="http://schemas.openxmlformats.org/officeDocument/2006/customXml" ds:itemID="{3E07FE61-5893-432D-B015-E7740FF0DFB7}">
  <ds:schemaRefs>
    <ds:schemaRef ds:uri="http://schemas.microsoft.com/sharepoint/v3/contenttype/forms"/>
  </ds:schemaRefs>
</ds:datastoreItem>
</file>

<file path=customXml/itemProps3.xml><?xml version="1.0" encoding="utf-8"?>
<ds:datastoreItem xmlns:ds="http://schemas.openxmlformats.org/officeDocument/2006/customXml" ds:itemID="{D0687415-4438-4CAD-8892-031030168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ACC1B-32A5-49C8-B2BB-899CF0B5A126}">
  <ds:schemaRef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Fact Sheet - Advice to Agencies: Applying the Work Health and Safety Accreditation Scheme</vt:lpstr>
    </vt:vector>
  </TitlesOfParts>
  <Company>Australian Government</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Advice to Agencies: Applying the Work Health and Safety Accreditation Scheme</dc:title>
  <dc:creator>Danny Thomas</dc:creator>
  <cp:lastModifiedBy>MATTON-JOHNSON,Elanor</cp:lastModifiedBy>
  <cp:revision>3</cp:revision>
  <cp:lastPrinted>2023-08-11T06:52:00Z</cp:lastPrinted>
  <dcterms:created xsi:type="dcterms:W3CDTF">2023-08-11T04:20:00Z</dcterms:created>
  <dcterms:modified xsi:type="dcterms:W3CDTF">2023-08-11T06:52:00Z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2022-07-21T06:10:49Z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acc87326-4dcc-40a1-aa85-3d1628dbb92e</vt:lpwstr>
  </property>
  <property fmtid="{D5CDD505-2E9C-101B-9397-08002B2CF9AE}" pid="9" name="MSIP_Label_79d889eb-932f-4752-8739-64d25806ef64_ContentBits">
    <vt:lpwstr>0</vt:lpwstr>
  </property>
</Properties>
</file>