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39EA" w14:textId="77777777" w:rsidR="00C937A6" w:rsidRDefault="00DD5EB8" w:rsidP="00C937A6">
      <w:pPr>
        <w:ind w:left="-238"/>
      </w:pPr>
      <w:r>
        <w:rPr>
          <w:noProof/>
          <w:lang w:eastAsia="en-AU"/>
        </w:rPr>
        <w:drawing>
          <wp:anchor distT="0" distB="0" distL="114300" distR="114300" simplePos="0" relativeHeight="251663360" behindDoc="1" locked="0" layoutInCell="1" allowOverlap="1" wp14:anchorId="3AB11B8C" wp14:editId="4A312050">
            <wp:simplePos x="0" y="0"/>
            <wp:positionH relativeFrom="column">
              <wp:posOffset>-118110</wp:posOffset>
            </wp:positionH>
            <wp:positionV relativeFrom="paragraph">
              <wp:posOffset>0</wp:posOffset>
            </wp:positionV>
            <wp:extent cx="7495540" cy="1390650"/>
            <wp:effectExtent l="0" t="0" r="0" b="0"/>
            <wp:wrapTight wrapText="bothSides">
              <wp:wrapPolygon edited="0">
                <wp:start x="0" y="0"/>
                <wp:lineTo x="0" y="21304"/>
                <wp:lineTo x="21519" y="21304"/>
                <wp:lineTo x="215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49554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B69523" w14:textId="77777777" w:rsidR="00C937A6" w:rsidRPr="00B6770A" w:rsidRDefault="001A2AFE" w:rsidP="00C937A6">
      <w:pPr>
        <w:pStyle w:val="Title"/>
        <w:spacing w:after="240"/>
        <w:ind w:left="1276" w:right="-119"/>
        <w:sectPr w:rsidR="00C937A6" w:rsidRPr="00B6770A" w:rsidSect="0091047E">
          <w:footerReference w:type="default" r:id="rId11"/>
          <w:pgSz w:w="11906" w:h="16838"/>
          <w:pgMar w:top="0" w:right="1416" w:bottom="1440" w:left="238" w:header="57" w:footer="0" w:gutter="0"/>
          <w:cols w:space="708"/>
          <w:docGrid w:linePitch="360"/>
        </w:sectPr>
      </w:pPr>
      <w:sdt>
        <w:sdtPr>
          <w:rPr>
            <w:rFonts w:cs="Calibri"/>
            <w:sz w:val="40"/>
            <w:szCs w:val="40"/>
          </w:rPr>
          <w:alias w:val="Title"/>
          <w:tag w:val=""/>
          <w:id w:val="-1223357544"/>
          <w:placeholder>
            <w:docPart w:val="5ECEF2CD81314AF38226FC3F25A483E1"/>
          </w:placeholder>
          <w:dataBinding w:prefixMappings="xmlns:ns0='http://purl.org/dc/elements/1.1/' xmlns:ns1='http://schemas.openxmlformats.org/package/2006/metadata/core-properties' " w:xpath="/ns1:coreProperties[1]/ns0:title[1]" w:storeItemID="{6C3C8BC8-F283-45AE-878A-BAB7291924A1}"/>
          <w:text/>
        </w:sdtPr>
        <w:sdtEndPr/>
        <w:sdtContent>
          <w:r w:rsidR="005B1ACD">
            <w:rPr>
              <w:rFonts w:cs="Calibri"/>
              <w:sz w:val="40"/>
              <w:szCs w:val="40"/>
            </w:rPr>
            <w:t>Fact Sheet – Scheme Rule Changes</w:t>
          </w:r>
        </w:sdtContent>
      </w:sdt>
      <w:bookmarkStart w:id="0" w:name="_Toc364946114"/>
      <w:r w:rsidR="00C937A6" w:rsidRPr="000E67DE">
        <w:rPr>
          <w:sz w:val="40"/>
          <w:szCs w:val="40"/>
        </w:rPr>
        <w:t xml:space="preserve"> </w:t>
      </w:r>
    </w:p>
    <w:p w14:paraId="3C840BFF" w14:textId="77777777" w:rsidR="00CB1083" w:rsidRDefault="004E01A5" w:rsidP="00CB1083">
      <w:pPr>
        <w:pStyle w:val="Heading1"/>
        <w:spacing w:after="240"/>
      </w:pPr>
      <w:r>
        <w:t>Background</w:t>
      </w:r>
    </w:p>
    <w:p w14:paraId="30CD1CE4" w14:textId="77777777" w:rsidR="00A26957" w:rsidRDefault="00A26957" w:rsidP="00A26957">
      <w:r w:rsidRPr="00A26957">
        <w:t xml:space="preserve">On 21 March 2019, the </w:t>
      </w:r>
      <w:r w:rsidRPr="00A26957">
        <w:rPr>
          <w:i/>
        </w:rPr>
        <w:t xml:space="preserve">Building and Construction (Improving Productivity) (Accreditation Scheme) Rules 2019 </w:t>
      </w:r>
      <w:r w:rsidRPr="00A26957">
        <w:t xml:space="preserve">(the Rules) came into effect.  The Rules repeal and replace the </w:t>
      </w:r>
      <w:r w:rsidRPr="00A26957">
        <w:rPr>
          <w:i/>
        </w:rPr>
        <w:t>Fair Work (Building Industry – Accreditation Scheme) Regulation 2016</w:t>
      </w:r>
      <w:r w:rsidRPr="00A26957">
        <w:t xml:space="preserve"> which prescribe the WHS Accreditation Scheme (the Scheme) for persons who wish to carry out Commonwealth funded building work</w:t>
      </w:r>
      <w:r>
        <w:t>.</w:t>
      </w:r>
    </w:p>
    <w:p w14:paraId="47DA15D8" w14:textId="77777777" w:rsidR="00CB1083" w:rsidRPr="00CB1083" w:rsidRDefault="004E01A5" w:rsidP="00CB1083">
      <w:pPr>
        <w:pStyle w:val="Heading1"/>
        <w:spacing w:after="240"/>
      </w:pPr>
      <w:r>
        <w:t>Why were the changes necessary?</w:t>
      </w:r>
    </w:p>
    <w:p w14:paraId="1484D018" w14:textId="77777777" w:rsidR="004E01A5" w:rsidRPr="00EA7FA7" w:rsidRDefault="00A26957" w:rsidP="004E01A5">
      <w:r w:rsidRPr="00A26957">
        <w:t>The remade Rules reduce regulatory burde</w:t>
      </w:r>
      <w:r w:rsidR="00043D5D">
        <w:t xml:space="preserve">n, </w:t>
      </w:r>
      <w:r w:rsidR="004E01A5">
        <w:t xml:space="preserve">clarify existing requirements, make technical amendments and formalise long-standing administrative practice. These changes will ensure the operating framework for the </w:t>
      </w:r>
      <w:r w:rsidR="00043D5D">
        <w:t>Scheme remains effective.</w:t>
      </w:r>
    </w:p>
    <w:p w14:paraId="462FED47" w14:textId="77777777" w:rsidR="004E01A5" w:rsidRDefault="004E01A5" w:rsidP="004E01A5">
      <w:pPr>
        <w:pStyle w:val="Heading1"/>
        <w:spacing w:after="240"/>
      </w:pPr>
      <w:r>
        <w:t xml:space="preserve">What are the changes? </w:t>
      </w:r>
    </w:p>
    <w:p w14:paraId="37AE9E5A" w14:textId="77777777" w:rsidR="004E01A5" w:rsidRDefault="004E01A5" w:rsidP="004E01A5">
      <w:pPr>
        <w:rPr>
          <w:rFonts w:ascii="Calibri" w:eastAsiaTheme="majorEastAsia" w:hAnsi="Calibri" w:cstheme="majorBidi"/>
          <w:b/>
          <w:bCs/>
          <w:sz w:val="24"/>
          <w:szCs w:val="26"/>
        </w:rPr>
      </w:pPr>
      <w:r w:rsidRPr="00A5078E">
        <w:rPr>
          <w:rFonts w:ascii="Calibri" w:eastAsiaTheme="majorEastAsia" w:hAnsi="Calibri" w:cstheme="majorBidi"/>
          <w:b/>
          <w:bCs/>
          <w:sz w:val="24"/>
          <w:szCs w:val="26"/>
        </w:rPr>
        <w:t>National Construction Code</w:t>
      </w:r>
      <w:r w:rsidR="00895B58">
        <w:rPr>
          <w:rFonts w:ascii="Calibri" w:eastAsiaTheme="majorEastAsia" w:hAnsi="Calibri" w:cstheme="majorBidi"/>
          <w:b/>
          <w:bCs/>
          <w:sz w:val="24"/>
          <w:szCs w:val="26"/>
        </w:rPr>
        <w:t xml:space="preserve"> (NCC) </w:t>
      </w:r>
      <w:r>
        <w:rPr>
          <w:rFonts w:ascii="Calibri" w:eastAsiaTheme="majorEastAsia" w:hAnsi="Calibri" w:cstheme="majorBidi"/>
          <w:b/>
          <w:bCs/>
          <w:sz w:val="24"/>
          <w:szCs w:val="26"/>
        </w:rPr>
        <w:t>legislative f</w:t>
      </w:r>
      <w:r w:rsidRPr="00A5078E">
        <w:rPr>
          <w:rFonts w:ascii="Calibri" w:eastAsiaTheme="majorEastAsia" w:hAnsi="Calibri" w:cstheme="majorBidi"/>
          <w:b/>
          <w:bCs/>
          <w:sz w:val="24"/>
          <w:szCs w:val="26"/>
        </w:rPr>
        <w:t>unction</w:t>
      </w:r>
    </w:p>
    <w:p w14:paraId="40FDA934" w14:textId="77777777" w:rsidR="00043D5D" w:rsidRDefault="00043D5D" w:rsidP="004E01A5">
      <w:r>
        <w:rPr>
          <w:bCs/>
        </w:rPr>
        <w:t>T</w:t>
      </w:r>
      <w:r w:rsidRPr="00654E03">
        <w:rPr>
          <w:bCs/>
        </w:rPr>
        <w:t>he Rules facilitate the performance of the Fed</w:t>
      </w:r>
      <w:r w:rsidR="00FA7988">
        <w:rPr>
          <w:bCs/>
        </w:rPr>
        <w:t>eral Safety Commissioner’s</w:t>
      </w:r>
      <w:r w:rsidR="00296035">
        <w:rPr>
          <w:bCs/>
        </w:rPr>
        <w:t xml:space="preserve"> (FSC)</w:t>
      </w:r>
      <w:r w:rsidRPr="00654E03">
        <w:rPr>
          <w:bCs/>
        </w:rPr>
        <w:t xml:space="preserve"> function in relation to auditing compliance with National Construction Code</w:t>
      </w:r>
      <w:r w:rsidR="00CB1083">
        <w:rPr>
          <w:bCs/>
        </w:rPr>
        <w:t xml:space="preserve"> (NCC)</w:t>
      </w:r>
      <w:r w:rsidRPr="00654E03">
        <w:rPr>
          <w:bCs/>
        </w:rPr>
        <w:t xml:space="preserve"> performance requirements in relation to building </w:t>
      </w:r>
      <w:proofErr w:type="gramStart"/>
      <w:r w:rsidRPr="00654E03">
        <w:rPr>
          <w:bCs/>
        </w:rPr>
        <w:t>materials, and</w:t>
      </w:r>
      <w:proofErr w:type="gramEnd"/>
      <w:r w:rsidRPr="00654E03">
        <w:rPr>
          <w:bCs/>
        </w:rPr>
        <w:t xml:space="preserve"> ensure that action can be taken by the FSC, including by suspending a person’s accreditation, if they are found not to be complying with those requirements.</w:t>
      </w:r>
    </w:p>
    <w:p w14:paraId="5E5106CE" w14:textId="77777777" w:rsidR="00AE70FD" w:rsidRDefault="00AE70FD" w:rsidP="00FF50F2">
      <w:pPr>
        <w:rPr>
          <w:rFonts w:ascii="Calibri" w:eastAsiaTheme="majorEastAsia" w:hAnsi="Calibri" w:cstheme="majorBidi"/>
          <w:b/>
          <w:bCs/>
          <w:sz w:val="24"/>
          <w:szCs w:val="26"/>
        </w:rPr>
      </w:pPr>
    </w:p>
    <w:p w14:paraId="657F01A6" w14:textId="77777777" w:rsidR="00AE70FD" w:rsidRDefault="00AE70FD" w:rsidP="00FF50F2">
      <w:pPr>
        <w:rPr>
          <w:rFonts w:ascii="Calibri" w:eastAsiaTheme="majorEastAsia" w:hAnsi="Calibri" w:cstheme="majorBidi"/>
          <w:b/>
          <w:bCs/>
          <w:sz w:val="24"/>
          <w:szCs w:val="26"/>
        </w:rPr>
      </w:pPr>
    </w:p>
    <w:p w14:paraId="546F1DF6" w14:textId="77777777" w:rsidR="00AE70FD" w:rsidRDefault="00AE70FD" w:rsidP="00FF50F2">
      <w:pPr>
        <w:rPr>
          <w:rFonts w:ascii="Calibri" w:eastAsiaTheme="majorEastAsia" w:hAnsi="Calibri" w:cstheme="majorBidi"/>
          <w:b/>
          <w:bCs/>
          <w:sz w:val="24"/>
          <w:szCs w:val="26"/>
        </w:rPr>
      </w:pPr>
    </w:p>
    <w:p w14:paraId="45DD4C58" w14:textId="77777777" w:rsidR="00AE70FD" w:rsidRDefault="00AE70FD" w:rsidP="00FF50F2">
      <w:pPr>
        <w:rPr>
          <w:rFonts w:ascii="Calibri" w:eastAsiaTheme="majorEastAsia" w:hAnsi="Calibri" w:cstheme="majorBidi"/>
          <w:b/>
          <w:bCs/>
          <w:sz w:val="24"/>
          <w:szCs w:val="26"/>
        </w:rPr>
      </w:pPr>
    </w:p>
    <w:p w14:paraId="55C6ADF9" w14:textId="77777777" w:rsidR="00FF50F2" w:rsidRPr="000D2BFB" w:rsidRDefault="00895B58" w:rsidP="00FF50F2">
      <w:pPr>
        <w:rPr>
          <w:rFonts w:ascii="Calibri" w:eastAsiaTheme="majorEastAsia" w:hAnsi="Calibri" w:cstheme="majorBidi"/>
          <w:b/>
          <w:bCs/>
          <w:sz w:val="24"/>
          <w:szCs w:val="26"/>
        </w:rPr>
      </w:pPr>
      <w:r w:rsidRPr="00FF50F2">
        <w:rPr>
          <w:rFonts w:ascii="Calibri" w:eastAsiaTheme="majorEastAsia" w:hAnsi="Calibri" w:cstheme="majorBidi"/>
          <w:b/>
          <w:bCs/>
          <w:sz w:val="24"/>
          <w:szCs w:val="26"/>
        </w:rPr>
        <w:t>Condition of accreditation</w:t>
      </w:r>
    </w:p>
    <w:p w14:paraId="420D19C6" w14:textId="77777777" w:rsidR="00296035" w:rsidRDefault="00FF50F2" w:rsidP="00FF50F2">
      <w:r>
        <w:t>The superseded Rules reference appropriate policies, procedures and safe work practices a</w:t>
      </w:r>
      <w:r w:rsidR="00296035">
        <w:t xml:space="preserve">s a condition of accreditation.  The Rules clarify that the condition of accreditation to have appropriate work health and safety (WHS) policies, </w:t>
      </w:r>
      <w:r w:rsidR="00AE70FD">
        <w:t>procedures and safe work practic</w:t>
      </w:r>
      <w:r w:rsidR="00296035">
        <w:t>e</w:t>
      </w:r>
      <w:r w:rsidR="00AE70FD">
        <w:t>s</w:t>
      </w:r>
      <w:r w:rsidR="00296035">
        <w:t xml:space="preserve"> includes the implementation of these requirements.</w:t>
      </w:r>
    </w:p>
    <w:p w14:paraId="0BA2A57D" w14:textId="77777777" w:rsidR="00CB1083" w:rsidRDefault="00895B58" w:rsidP="00296035">
      <w:pPr>
        <w:pStyle w:val="Heading2"/>
        <w:spacing w:after="200" w:line="240" w:lineRule="auto"/>
      </w:pPr>
      <w:r>
        <w:t>Revocation of a</w:t>
      </w:r>
      <w:r w:rsidR="00CB1083">
        <w:t>ccreditation</w:t>
      </w:r>
    </w:p>
    <w:p w14:paraId="79B356BE" w14:textId="77777777" w:rsidR="00AE70FD" w:rsidRDefault="007C553E" w:rsidP="004E01A5">
      <w:r w:rsidRPr="007C553E">
        <w:t xml:space="preserve">The Rules provide an additional ground upon which the FSC may revoke a person’s accreditation. Specifically, a person’s accreditation may be revoked if the FSC is satisfied that the accredited person has, at two or more times while accredited, failed to have or implement appropriate work health and safety policies and procedures or safe work practices. </w:t>
      </w:r>
    </w:p>
    <w:p w14:paraId="7013A8E9" w14:textId="77777777" w:rsidR="007C553E" w:rsidRDefault="007C553E" w:rsidP="004E01A5">
      <w:r w:rsidRPr="007C553E">
        <w:t>This will enable the FSC to revoke the accreditation of a person that consistently fails to meet the requisite safety standard determined by the FSC without needing to demonstrate there is a clear and present risk to safety or that a safety incident has occurred, which is consistent with the objectives of the Scheme.</w:t>
      </w:r>
    </w:p>
    <w:p w14:paraId="3D43F672" w14:textId="77777777" w:rsidR="00AE70FD" w:rsidRDefault="00AE70FD" w:rsidP="004E01A5">
      <w:r>
        <w:t xml:space="preserve">Revocation of a person’s accreditation will be managed in accordance </w:t>
      </w:r>
      <w:r w:rsidR="00E46C07">
        <w:t>with the OFSC compliance policy.</w:t>
      </w:r>
    </w:p>
    <w:p w14:paraId="73523A5E" w14:textId="77777777" w:rsidR="004E01A5" w:rsidRPr="005950A9" w:rsidRDefault="000D2BFB" w:rsidP="004E01A5">
      <w:pPr>
        <w:rPr>
          <w:rFonts w:ascii="Calibri" w:eastAsiaTheme="majorEastAsia" w:hAnsi="Calibri" w:cstheme="majorBidi"/>
          <w:b/>
          <w:bCs/>
          <w:sz w:val="24"/>
          <w:szCs w:val="26"/>
        </w:rPr>
      </w:pPr>
      <w:r>
        <w:rPr>
          <w:rFonts w:ascii="Calibri" w:eastAsiaTheme="majorEastAsia" w:hAnsi="Calibri" w:cstheme="majorBidi"/>
          <w:b/>
          <w:bCs/>
          <w:sz w:val="24"/>
          <w:szCs w:val="26"/>
        </w:rPr>
        <w:t>Definition of building w</w:t>
      </w:r>
      <w:r w:rsidR="005950A9" w:rsidRPr="005950A9">
        <w:rPr>
          <w:rFonts w:ascii="Calibri" w:eastAsiaTheme="majorEastAsia" w:hAnsi="Calibri" w:cstheme="majorBidi"/>
          <w:b/>
          <w:bCs/>
          <w:sz w:val="24"/>
          <w:szCs w:val="26"/>
        </w:rPr>
        <w:t>ork</w:t>
      </w:r>
      <w:r w:rsidR="004E01A5" w:rsidRPr="005950A9">
        <w:rPr>
          <w:rFonts w:ascii="Calibri" w:eastAsiaTheme="majorEastAsia" w:hAnsi="Calibri" w:cstheme="majorBidi"/>
          <w:b/>
          <w:bCs/>
          <w:sz w:val="24"/>
          <w:szCs w:val="26"/>
        </w:rPr>
        <w:t xml:space="preserve"> </w:t>
      </w:r>
    </w:p>
    <w:p w14:paraId="349628E0" w14:textId="77777777" w:rsidR="001B7C12" w:rsidRDefault="00653A33" w:rsidP="001B7C12">
      <w:r>
        <w:t>The changes to the R</w:t>
      </w:r>
      <w:r w:rsidR="00895B58">
        <w:t>ules limit the coverage of the building w</w:t>
      </w:r>
      <w:r>
        <w:t xml:space="preserve">ork definition for the purposes of the Scheme. It excludes offsite pre-fabrication or made-to-order components to form part of any building, structure or works, and the transport or supply of goods directly to building sites to be used in building work. </w:t>
      </w:r>
    </w:p>
    <w:p w14:paraId="7FAAF59C" w14:textId="77777777" w:rsidR="00E46C07" w:rsidRDefault="00E46C07" w:rsidP="00C937A6"/>
    <w:p w14:paraId="5C9D5283" w14:textId="77777777" w:rsidR="001B7C12" w:rsidRDefault="001B7C12" w:rsidP="00C937A6">
      <w:r>
        <w:lastRenderedPageBreak/>
        <w:t>T</w:t>
      </w:r>
      <w:r w:rsidRPr="001B7C12">
        <w:t xml:space="preserve">he Rules </w:t>
      </w:r>
      <w:r>
        <w:t xml:space="preserve">also </w:t>
      </w:r>
      <w:r w:rsidRPr="001B7C12">
        <w:t xml:space="preserve">provide that the Scheme does not apply to building work which forms part of a project to support the operations of an intelligence or security agency where the Minister responsible for the intelligence or security agency has determined in writing that disclosing the connection of the Commonwealth with the work or the project would prejudice security. The purpose is to ensure that compliance with the Scheme does not prejudice Australia’s national security by identifying the Commonwealth’s </w:t>
      </w:r>
      <w:r w:rsidR="00296035" w:rsidRPr="00EA7FA7">
        <w:rPr>
          <w:rFonts w:cstheme="minorHAnsi"/>
          <w:noProof/>
          <w:lang w:eastAsia="en-AU"/>
        </w:rPr>
        <mc:AlternateContent>
          <mc:Choice Requires="wps">
            <w:drawing>
              <wp:anchor distT="0" distB="0" distL="114300" distR="114300" simplePos="0" relativeHeight="251661312" behindDoc="1" locked="0" layoutInCell="1" allowOverlap="1" wp14:anchorId="7368E3EB" wp14:editId="19FC976C">
                <wp:simplePos x="0" y="0"/>
                <wp:positionH relativeFrom="margin">
                  <wp:posOffset>3167272</wp:posOffset>
                </wp:positionH>
                <wp:positionV relativeFrom="paragraph">
                  <wp:posOffset>43180</wp:posOffset>
                </wp:positionV>
                <wp:extent cx="2714625" cy="34766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2714625" cy="3476625"/>
                        </a:xfrm>
                        <a:prstGeom prst="rect">
                          <a:avLst/>
                        </a:prstGeom>
                        <a:noFill/>
                        <a:ln w="6350">
                          <a:solidFill>
                            <a:srgbClr val="C00000"/>
                          </a:solidFill>
                        </a:ln>
                      </wps:spPr>
                      <wps:txbx>
                        <w:txbxContent>
                          <w:p w14:paraId="08606C93" w14:textId="120432D5" w:rsidR="00901455" w:rsidRPr="009C1375" w:rsidRDefault="00901455" w:rsidP="00901455">
                            <w:pPr>
                              <w:rPr>
                                <w:szCs w:val="20"/>
                              </w:rPr>
                            </w:pPr>
                            <w:r w:rsidRPr="009C1375">
                              <w:rPr>
                                <w:szCs w:val="20"/>
                              </w:rPr>
                              <w:t xml:space="preserve">This fact sheet was last </w:t>
                            </w:r>
                            <w:r w:rsidRPr="00121E1D">
                              <w:rPr>
                                <w:szCs w:val="20"/>
                              </w:rPr>
                              <w:t xml:space="preserve">updated </w:t>
                            </w:r>
                            <w:r w:rsidR="00BB4EF9">
                              <w:rPr>
                                <w:szCs w:val="20"/>
                              </w:rPr>
                              <w:t>6 February 2023</w:t>
                            </w:r>
                            <w:r w:rsidRPr="00121E1D">
                              <w:rPr>
                                <w:szCs w:val="20"/>
                              </w:rPr>
                              <w:t>.</w:t>
                            </w:r>
                            <w:r w:rsidRPr="009C1375">
                              <w:rPr>
                                <w:szCs w:val="20"/>
                              </w:rPr>
                              <w:t xml:space="preserve"> The Office of the Federal Safety Commissioner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8E3EB" id="_x0000_t202" coordsize="21600,21600" o:spt="202" path="m,l,21600r21600,l21600,xe">
                <v:stroke joinstyle="miter"/>
                <v:path gradientshapeok="t" o:connecttype="rect"/>
              </v:shapetype>
              <v:shape id="Text Box 8" o:spid="_x0000_s1026" type="#_x0000_t202" style="position:absolute;margin-left:249.4pt;margin-top:3.4pt;width:213.75pt;height:27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" filled="f" strokecolor="#c00000" strokeweight=".5pt">
                <v:textbox>
                  <w:txbxContent>
                    <w:p w14:paraId="08606C93" w14:textId="120432D5" w:rsidR="00901455" w:rsidRPr="009C1375" w:rsidRDefault="00901455" w:rsidP="00901455">
                      <w:pPr>
                        <w:rPr>
                          <w:szCs w:val="20"/>
                        </w:rPr>
                      </w:pPr>
                      <w:r w:rsidRPr="009C1375">
                        <w:rPr>
                          <w:szCs w:val="20"/>
                        </w:rPr>
                        <w:t xml:space="preserve">This fact sheet was last </w:t>
                      </w:r>
                      <w:r w:rsidRPr="00121E1D">
                        <w:rPr>
                          <w:szCs w:val="20"/>
                        </w:rPr>
                        <w:t xml:space="preserve">updated </w:t>
                      </w:r>
                      <w:r w:rsidR="00BB4EF9">
                        <w:rPr>
                          <w:szCs w:val="20"/>
                        </w:rPr>
                        <w:t>6 February 2023</w:t>
                      </w:r>
                      <w:r w:rsidRPr="00121E1D">
                        <w:rPr>
                          <w:szCs w:val="20"/>
                        </w:rPr>
                        <w:t>.</w:t>
                      </w:r>
                      <w:r w:rsidRPr="009C1375">
                        <w:rPr>
                          <w:szCs w:val="20"/>
                        </w:rPr>
                        <w:t xml:space="preserve"> The Office of the Federal Safety Commissioner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v:textbox>
                <w10:wrap type="square" anchorx="margin"/>
              </v:shape>
            </w:pict>
          </mc:Fallback>
        </mc:AlternateContent>
      </w:r>
      <w:r w:rsidRPr="001B7C12">
        <w:t>interest in certain sensitive building and construction projects.</w:t>
      </w:r>
    </w:p>
    <w:p w14:paraId="1A735AB6" w14:textId="77777777" w:rsidR="00DB5D69" w:rsidRPr="00DB5D69" w:rsidRDefault="00DB5D69" w:rsidP="00C937A6">
      <w:pPr>
        <w:rPr>
          <w:rFonts w:ascii="Calibri" w:eastAsiaTheme="majorEastAsia" w:hAnsi="Calibri" w:cstheme="majorBidi"/>
          <w:b/>
          <w:bCs/>
          <w:sz w:val="24"/>
          <w:szCs w:val="26"/>
        </w:rPr>
      </w:pPr>
      <w:r w:rsidRPr="00DB5D69">
        <w:rPr>
          <w:rFonts w:ascii="Calibri" w:eastAsiaTheme="majorEastAsia" w:hAnsi="Calibri" w:cstheme="majorBidi"/>
          <w:b/>
          <w:bCs/>
          <w:sz w:val="24"/>
          <w:szCs w:val="26"/>
        </w:rPr>
        <w:t>Joint Ventures</w:t>
      </w:r>
    </w:p>
    <w:p w14:paraId="566BB9E7" w14:textId="77777777" w:rsidR="00CB1083" w:rsidRDefault="00DB5D69" w:rsidP="00CB1083">
      <w:pPr>
        <w:pStyle w:val="Heading2"/>
        <w:rPr>
          <w:rFonts w:asciiTheme="minorHAnsi" w:eastAsiaTheme="minorEastAsia" w:hAnsiTheme="minorHAnsi" w:cstheme="minorBidi"/>
          <w:b w:val="0"/>
          <w:bCs w:val="0"/>
          <w:sz w:val="20"/>
          <w:szCs w:val="22"/>
        </w:rPr>
      </w:pPr>
      <w:r w:rsidRPr="00DB5D69">
        <w:rPr>
          <w:rFonts w:asciiTheme="minorHAnsi" w:eastAsiaTheme="minorEastAsia" w:hAnsiTheme="minorHAnsi" w:cstheme="minorBidi"/>
          <w:b w:val="0"/>
          <w:bCs w:val="0"/>
          <w:sz w:val="20"/>
          <w:szCs w:val="22"/>
        </w:rPr>
        <w:t xml:space="preserve">The </w:t>
      </w:r>
      <w:r>
        <w:rPr>
          <w:rFonts w:asciiTheme="minorHAnsi" w:eastAsiaTheme="minorEastAsia" w:hAnsiTheme="minorHAnsi" w:cstheme="minorBidi"/>
          <w:b w:val="0"/>
          <w:bCs w:val="0"/>
          <w:sz w:val="20"/>
          <w:szCs w:val="22"/>
        </w:rPr>
        <w:t xml:space="preserve">Rules were amended to remove ambiguity about </w:t>
      </w:r>
      <w:proofErr w:type="gramStart"/>
      <w:r>
        <w:rPr>
          <w:rFonts w:asciiTheme="minorHAnsi" w:eastAsiaTheme="minorEastAsia" w:hAnsiTheme="minorHAnsi" w:cstheme="minorBidi"/>
          <w:b w:val="0"/>
          <w:bCs w:val="0"/>
          <w:sz w:val="20"/>
          <w:szCs w:val="22"/>
        </w:rPr>
        <w:t>whether or not</w:t>
      </w:r>
      <w:proofErr w:type="gramEnd"/>
      <w:r>
        <w:rPr>
          <w:rFonts w:asciiTheme="minorHAnsi" w:eastAsiaTheme="minorEastAsia" w:hAnsiTheme="minorHAnsi" w:cstheme="minorBidi"/>
          <w:b w:val="0"/>
          <w:bCs w:val="0"/>
          <w:sz w:val="20"/>
          <w:szCs w:val="22"/>
        </w:rPr>
        <w:t xml:space="preserve"> persons in a joint venture that are separately accredited (but who are not the accredited builder in the joint venture taking WHS responsibility) must give undertakings. </w:t>
      </w:r>
    </w:p>
    <w:p w14:paraId="7DC7BF30" w14:textId="77777777" w:rsidR="00CB1083" w:rsidRPr="00142118" w:rsidRDefault="00CB1083" w:rsidP="00CB1083">
      <w:pPr>
        <w:pStyle w:val="Heading2"/>
      </w:pPr>
      <w:r>
        <w:t>Commonwealth Authorities</w:t>
      </w:r>
    </w:p>
    <w:p w14:paraId="72FE8055" w14:textId="763FED5C" w:rsidR="00296035" w:rsidRPr="00CB1083" w:rsidRDefault="00CB1083" w:rsidP="00CB1083">
      <w:pPr>
        <w:spacing w:before="200"/>
      </w:pPr>
      <w:r>
        <w:t xml:space="preserve">The </w:t>
      </w:r>
      <w:r w:rsidR="00296035">
        <w:t xml:space="preserve">superseded </w:t>
      </w:r>
      <w:r>
        <w:t xml:space="preserve">Rules contained references to Commonwealth authorities which do not exist under the current Commonwealth financial framework. An amendment was required to replace references to ‘Commonwealth authorities’ with ‘Commonwealth entities’ to </w:t>
      </w:r>
      <w:r w:rsidR="00296035">
        <w:t>ensure the Rules are</w:t>
      </w:r>
      <w:r>
        <w:t xml:space="preserve"> consistent with the current Commonwealth fi</w:t>
      </w:r>
      <w:r w:rsidR="00296035">
        <w:t>nancial framework and with the</w:t>
      </w:r>
      <w:r w:rsidR="00296035" w:rsidRPr="00296035">
        <w:t xml:space="preserve"> </w:t>
      </w:r>
      <w:r w:rsidR="00BB4EF9">
        <w:rPr>
          <w:i/>
          <w:iCs/>
        </w:rPr>
        <w:t>Federal Safety Commissioner Act 2022</w:t>
      </w:r>
      <w:r w:rsidR="00296035" w:rsidRPr="00296035">
        <w:rPr>
          <w:i/>
        </w:rPr>
        <w:t>.</w:t>
      </w:r>
    </w:p>
    <w:bookmarkEnd w:id="0"/>
    <w:p w14:paraId="288E2C4D" w14:textId="77777777" w:rsidR="00901455" w:rsidRDefault="00F01A4F" w:rsidP="00AC07C0">
      <w:pPr>
        <w:spacing w:before="240"/>
      </w:pPr>
      <w:r w:rsidRPr="007D244F">
        <w:rPr>
          <w:noProof/>
          <w:lang w:eastAsia="en-AU"/>
        </w:rPr>
        <mc:AlternateContent>
          <mc:Choice Requires="wps">
            <w:drawing>
              <wp:anchor distT="0" distB="0" distL="114300" distR="114300" simplePos="0" relativeHeight="251665408" behindDoc="1" locked="0" layoutInCell="1" allowOverlap="1" wp14:anchorId="0A49D730" wp14:editId="4DD114D1">
                <wp:simplePos x="0" y="0"/>
                <wp:positionH relativeFrom="column">
                  <wp:posOffset>-42545</wp:posOffset>
                </wp:positionH>
                <wp:positionV relativeFrom="paragraph">
                  <wp:posOffset>41275</wp:posOffset>
                </wp:positionV>
                <wp:extent cx="2895600" cy="1171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895600" cy="1171575"/>
                        </a:xfrm>
                        <a:prstGeom prst="rect">
                          <a:avLst/>
                        </a:prstGeom>
                        <a:solidFill>
                          <a:srgbClr val="7F7F7F">
                            <a:lumMod val="40000"/>
                            <a:lumOff val="60000"/>
                          </a:srgbClr>
                        </a:solidFill>
                        <a:ln w="6350">
                          <a:noFill/>
                        </a:ln>
                      </wps:spPr>
                      <wps:txbx>
                        <w:txbxContent>
                          <w:p w14:paraId="782BECA3" w14:textId="77777777" w:rsidR="00F01A4F" w:rsidRPr="00DB79B9" w:rsidRDefault="00F01A4F" w:rsidP="00F01A4F">
                            <w:pPr>
                              <w:rPr>
                                <w:rFonts w:eastAsiaTheme="majorEastAsia"/>
                              </w:rPr>
                            </w:pPr>
                            <w:r w:rsidRPr="00DB79B9">
                              <w:rPr>
                                <w:rFonts w:eastAsiaTheme="majorEastAsia"/>
                              </w:rPr>
                              <w:t>F</w:t>
                            </w:r>
                            <w:r>
                              <w:rPr>
                                <w:rFonts w:eastAsiaTheme="majorEastAsia"/>
                              </w:rPr>
                              <w:t>or further information</w:t>
                            </w:r>
                            <w:r w:rsidRPr="00DB79B9">
                              <w:rPr>
                                <w:rFonts w:eastAsiaTheme="majorEastAsia"/>
                              </w:rPr>
                              <w:t>:</w:t>
                            </w:r>
                          </w:p>
                          <w:p w14:paraId="48221FFA" w14:textId="77777777" w:rsidR="00F01A4F" w:rsidRPr="00DB79B9" w:rsidRDefault="00F01A4F" w:rsidP="00F01A4F">
                            <w:pPr>
                              <w:pStyle w:val="ListParagraph"/>
                              <w:numPr>
                                <w:ilvl w:val="0"/>
                                <w:numId w:val="2"/>
                              </w:numPr>
                              <w:ind w:left="426" w:hanging="284"/>
                            </w:pPr>
                            <w:r w:rsidRPr="00DB79B9">
                              <w:t xml:space="preserve">Visit the FSC website at </w:t>
                            </w:r>
                            <w:r w:rsidRPr="00250412">
                              <w:rPr>
                                <w:b/>
                              </w:rPr>
                              <w:t>www.fsc</w:t>
                            </w:r>
                            <w:r w:rsidRPr="00DB79B9">
                              <w:rPr>
                                <w:b/>
                              </w:rPr>
                              <w:t>.gov.au</w:t>
                            </w:r>
                          </w:p>
                          <w:p w14:paraId="60318FE9" w14:textId="77777777" w:rsidR="00F01A4F" w:rsidRPr="00DB79B9" w:rsidRDefault="00F01A4F" w:rsidP="00F01A4F">
                            <w:pPr>
                              <w:pStyle w:val="ListParagraph"/>
                              <w:numPr>
                                <w:ilvl w:val="0"/>
                                <w:numId w:val="2"/>
                              </w:numPr>
                              <w:ind w:left="426" w:hanging="284"/>
                            </w:pPr>
                            <w:r w:rsidRPr="00DB79B9">
                              <w:t xml:space="preserve">Contact the FSC Assist Line on </w:t>
                            </w:r>
                            <w:r w:rsidRPr="00DB79B9">
                              <w:rPr>
                                <w:b/>
                              </w:rPr>
                              <w:t>1800 652 500</w:t>
                            </w:r>
                          </w:p>
                          <w:p w14:paraId="686AD288" w14:textId="088D9F9B" w:rsidR="00F01A4F" w:rsidRPr="00DB79B9" w:rsidRDefault="00F01A4F" w:rsidP="00F01A4F">
                            <w:pPr>
                              <w:pStyle w:val="ListParagraph"/>
                              <w:numPr>
                                <w:ilvl w:val="0"/>
                                <w:numId w:val="2"/>
                              </w:numPr>
                              <w:ind w:left="426" w:hanging="284"/>
                            </w:pPr>
                            <w:r w:rsidRPr="00DB79B9">
                              <w:t xml:space="preserve">Contact the OFSC via email at </w:t>
                            </w:r>
                            <w:r w:rsidRPr="00DB79B9">
                              <w:rPr>
                                <w:b/>
                              </w:rPr>
                              <w:t>ofsc@</w:t>
                            </w:r>
                            <w:r w:rsidR="009B0139">
                              <w:rPr>
                                <w:b/>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9D730" id="_x0000_t202" coordsize="21600,21600" o:spt="202" path="m,l,21600r21600,l21600,xe">
                <v:stroke joinstyle="miter"/>
                <v:path gradientshapeok="t" o:connecttype="rect"/>
              </v:shapetype>
              <v:shape id="Text Box 1" o:spid="_x0000_s1027" type="#_x0000_t202" style="position:absolute;margin-left:-3.35pt;margin-top:3.25pt;width:228pt;height:9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" fillcolor="#ccc" stroked="f" strokeweight=".5pt">
                <v:textbox>
                  <w:txbxContent>
                    <w:p w14:paraId="782BECA3" w14:textId="77777777" w:rsidR="00F01A4F" w:rsidRPr="00DB79B9" w:rsidRDefault="00F01A4F" w:rsidP="00F01A4F">
                      <w:pPr>
                        <w:rPr>
                          <w:rFonts w:eastAsiaTheme="majorEastAsia"/>
                        </w:rPr>
                      </w:pPr>
                      <w:r w:rsidRPr="00DB79B9">
                        <w:rPr>
                          <w:rFonts w:eastAsiaTheme="majorEastAsia"/>
                        </w:rPr>
                        <w:t>F</w:t>
                      </w:r>
                      <w:r>
                        <w:rPr>
                          <w:rFonts w:eastAsiaTheme="majorEastAsia"/>
                        </w:rPr>
                        <w:t>or further information</w:t>
                      </w:r>
                      <w:r w:rsidRPr="00DB79B9">
                        <w:rPr>
                          <w:rFonts w:eastAsiaTheme="majorEastAsia"/>
                        </w:rPr>
                        <w:t>:</w:t>
                      </w:r>
                    </w:p>
                    <w:p w14:paraId="48221FFA" w14:textId="77777777" w:rsidR="00F01A4F" w:rsidRPr="00DB79B9" w:rsidRDefault="00F01A4F" w:rsidP="00F01A4F">
                      <w:pPr>
                        <w:pStyle w:val="ListParagraph"/>
                        <w:numPr>
                          <w:ilvl w:val="0"/>
                          <w:numId w:val="2"/>
                        </w:numPr>
                        <w:ind w:left="426" w:hanging="284"/>
                      </w:pPr>
                      <w:r w:rsidRPr="00DB79B9">
                        <w:t xml:space="preserve">Visit the FSC website at </w:t>
                      </w:r>
                      <w:r w:rsidRPr="00250412">
                        <w:rPr>
                          <w:b/>
                        </w:rPr>
                        <w:t>www.fsc</w:t>
                      </w:r>
                      <w:r w:rsidRPr="00DB79B9">
                        <w:rPr>
                          <w:b/>
                        </w:rPr>
                        <w:t>.gov.au</w:t>
                      </w:r>
                    </w:p>
                    <w:p w14:paraId="60318FE9" w14:textId="77777777" w:rsidR="00F01A4F" w:rsidRPr="00DB79B9" w:rsidRDefault="00F01A4F" w:rsidP="00F01A4F">
                      <w:pPr>
                        <w:pStyle w:val="ListParagraph"/>
                        <w:numPr>
                          <w:ilvl w:val="0"/>
                          <w:numId w:val="2"/>
                        </w:numPr>
                        <w:ind w:left="426" w:hanging="284"/>
                      </w:pPr>
                      <w:r w:rsidRPr="00DB79B9">
                        <w:t xml:space="preserve">Contact the FSC Assist Line on </w:t>
                      </w:r>
                      <w:r w:rsidRPr="00DB79B9">
                        <w:rPr>
                          <w:b/>
                        </w:rPr>
                        <w:t>1800 652 500</w:t>
                      </w:r>
                    </w:p>
                    <w:p w14:paraId="686AD288" w14:textId="088D9F9B" w:rsidR="00F01A4F" w:rsidRPr="00DB79B9" w:rsidRDefault="00F01A4F" w:rsidP="00F01A4F">
                      <w:pPr>
                        <w:pStyle w:val="ListParagraph"/>
                        <w:numPr>
                          <w:ilvl w:val="0"/>
                          <w:numId w:val="2"/>
                        </w:numPr>
                        <w:ind w:left="426" w:hanging="284"/>
                      </w:pPr>
                      <w:r w:rsidRPr="00DB79B9">
                        <w:t xml:space="preserve">Contact the OFSC via email at </w:t>
                      </w:r>
                      <w:r w:rsidRPr="00DB79B9">
                        <w:rPr>
                          <w:b/>
                        </w:rPr>
                        <w:t>ofsc@</w:t>
                      </w:r>
                      <w:r w:rsidR="009B0139">
                        <w:rPr>
                          <w:b/>
                        </w:rPr>
                        <w:t>dewr.gov.au</w:t>
                      </w:r>
                    </w:p>
                  </w:txbxContent>
                </v:textbox>
              </v:shape>
            </w:pict>
          </mc:Fallback>
        </mc:AlternateContent>
      </w:r>
    </w:p>
    <w:p w14:paraId="71463D58" w14:textId="77777777" w:rsidR="00901455" w:rsidRDefault="00901455"/>
    <w:p w14:paraId="2EAC3BBA" w14:textId="77777777" w:rsidR="00901455" w:rsidRDefault="00901455"/>
    <w:p w14:paraId="207C11A2" w14:textId="77777777" w:rsidR="00901455" w:rsidRDefault="00901455"/>
    <w:p w14:paraId="52BD3D21" w14:textId="77777777" w:rsidR="00901455" w:rsidRDefault="00901455"/>
    <w:p w14:paraId="40DF0D8E" w14:textId="77777777" w:rsidR="00901455" w:rsidRDefault="00901455"/>
    <w:p w14:paraId="4817D002" w14:textId="77777777" w:rsidR="00901455" w:rsidRDefault="00901455"/>
    <w:p w14:paraId="5493CB3F" w14:textId="77777777" w:rsidR="00901455" w:rsidRDefault="00901455"/>
    <w:p w14:paraId="44E906A7" w14:textId="77777777" w:rsidR="00901455" w:rsidRDefault="00901455"/>
    <w:sectPr w:rsidR="00901455" w:rsidSect="00B6770A">
      <w:headerReference w:type="default" r:id="rId12"/>
      <w:footerReference w:type="default" r:id="rId13"/>
      <w:type w:val="continuous"/>
      <w:pgSz w:w="11906" w:h="16838"/>
      <w:pgMar w:top="1134"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8368" w14:textId="77777777" w:rsidR="00942BA5" w:rsidRDefault="00942BA5">
      <w:pPr>
        <w:spacing w:after="0" w:line="240" w:lineRule="auto"/>
      </w:pPr>
      <w:r>
        <w:separator/>
      </w:r>
    </w:p>
  </w:endnote>
  <w:endnote w:type="continuationSeparator" w:id="0">
    <w:p w14:paraId="7B702759" w14:textId="77777777" w:rsidR="00942BA5" w:rsidRDefault="0094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558E" w14:textId="77777777" w:rsidR="003242B9" w:rsidRPr="000B1D63" w:rsidRDefault="0091047E" w:rsidP="00923C84">
    <w:pPr>
      <w:pStyle w:val="Footer"/>
      <w:tabs>
        <w:tab w:val="clear" w:pos="9026"/>
        <w:tab w:val="left" w:pos="2349"/>
        <w:tab w:val="left" w:pos="5931"/>
        <w:tab w:val="right" w:pos="8647"/>
        <w:tab w:val="right" w:pos="10228"/>
      </w:tabs>
      <w:ind w:left="-238"/>
      <w:rPr>
        <w:noProof/>
        <w:color w:val="E7E6E6" w:themeColor="background2"/>
      </w:rPr>
    </w:pPr>
    <w:r>
      <w:rPr>
        <w:noProof/>
        <w:lang w:eastAsia="en-AU"/>
      </w:rPr>
      <w:drawing>
        <wp:anchor distT="0" distB="0" distL="114300" distR="114300" simplePos="0" relativeHeight="251660288" behindDoc="1" locked="0" layoutInCell="1" allowOverlap="1" wp14:anchorId="1D28D0D9" wp14:editId="41E0D3EC">
          <wp:simplePos x="0" y="0"/>
          <wp:positionH relativeFrom="page">
            <wp:align>center</wp:align>
          </wp:positionH>
          <wp:positionV relativeFrom="paragraph">
            <wp:posOffset>-723649</wp:posOffset>
          </wp:positionV>
          <wp:extent cx="7663180" cy="8656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865609"/>
                  </a:xfrm>
                  <a:prstGeom prst="rect">
                    <a:avLst/>
                  </a:prstGeom>
                </pic:spPr>
              </pic:pic>
            </a:graphicData>
          </a:graphic>
          <wp14:sizeRelH relativeFrom="page">
            <wp14:pctWidth>0</wp14:pctWidth>
          </wp14:sizeRelH>
          <wp14:sizeRelV relativeFrom="page">
            <wp14:pctHeight>0</wp14:pctHeight>
          </wp14:sizeRelV>
        </wp:anchor>
      </w:drawing>
    </w:r>
    <w:r w:rsidR="00E377EA">
      <w:tab/>
    </w:r>
    <w:r w:rsidR="00E377EA">
      <w:tab/>
    </w:r>
    <w:r w:rsidR="00E377EA">
      <w:tab/>
    </w:r>
    <w:r w:rsidR="00E377EA">
      <w:tab/>
    </w:r>
    <w:r w:rsidR="00E377E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9AA8" w14:textId="77777777" w:rsidR="0068408E" w:rsidRDefault="00E377EA">
    <w:r>
      <w:rPr>
        <w:noProof/>
        <w:lang w:eastAsia="en-AU"/>
      </w:rPr>
      <w:drawing>
        <wp:anchor distT="0" distB="0" distL="114300" distR="114300" simplePos="0" relativeHeight="251658240" behindDoc="1" locked="0" layoutInCell="1" allowOverlap="1" wp14:anchorId="692EDC53" wp14:editId="45C742F4">
          <wp:simplePos x="0" y="0"/>
          <wp:positionH relativeFrom="column">
            <wp:posOffset>-914400</wp:posOffset>
          </wp:positionH>
          <wp:positionV relativeFrom="paragraph">
            <wp:posOffset>-315669</wp:posOffset>
          </wp:positionV>
          <wp:extent cx="7663180" cy="865609"/>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44734" cy="8748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8198" w14:textId="77777777" w:rsidR="00942BA5" w:rsidRDefault="00942BA5">
      <w:pPr>
        <w:spacing w:after="0" w:line="240" w:lineRule="auto"/>
      </w:pPr>
      <w:r>
        <w:separator/>
      </w:r>
    </w:p>
  </w:footnote>
  <w:footnote w:type="continuationSeparator" w:id="0">
    <w:p w14:paraId="213A73BF" w14:textId="77777777" w:rsidR="00942BA5" w:rsidRDefault="00942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0481" w14:textId="77777777" w:rsidR="00B6770A" w:rsidRDefault="00E377EA" w:rsidP="00B6770A">
    <w:pPr>
      <w:pStyle w:val="Header"/>
      <w:jc w:val="right"/>
    </w:pPr>
    <w:r>
      <w:t xml:space="preserve">Fact Sheet – </w:t>
    </w:r>
    <w:r w:rsidR="00554A0A">
      <w:t>Scheme Rule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A6"/>
    <w:rsid w:val="00043D5D"/>
    <w:rsid w:val="000D2BFB"/>
    <w:rsid w:val="00121E1D"/>
    <w:rsid w:val="00163EEC"/>
    <w:rsid w:val="0018743E"/>
    <w:rsid w:val="001A2AFE"/>
    <w:rsid w:val="001A6E7E"/>
    <w:rsid w:val="001B7C12"/>
    <w:rsid w:val="00256766"/>
    <w:rsid w:val="002648F1"/>
    <w:rsid w:val="00296035"/>
    <w:rsid w:val="002A304B"/>
    <w:rsid w:val="003D0311"/>
    <w:rsid w:val="004D248A"/>
    <w:rsid w:val="004E01A5"/>
    <w:rsid w:val="00554A0A"/>
    <w:rsid w:val="005950A9"/>
    <w:rsid w:val="005A5A06"/>
    <w:rsid w:val="005A79DF"/>
    <w:rsid w:val="005B1ACD"/>
    <w:rsid w:val="00644A4B"/>
    <w:rsid w:val="00653A33"/>
    <w:rsid w:val="006C7D05"/>
    <w:rsid w:val="006F2F3A"/>
    <w:rsid w:val="006F461D"/>
    <w:rsid w:val="00781803"/>
    <w:rsid w:val="007C553E"/>
    <w:rsid w:val="00895B58"/>
    <w:rsid w:val="008A4851"/>
    <w:rsid w:val="00901455"/>
    <w:rsid w:val="0091047E"/>
    <w:rsid w:val="00942BA5"/>
    <w:rsid w:val="0095232E"/>
    <w:rsid w:val="00976A90"/>
    <w:rsid w:val="00984A31"/>
    <w:rsid w:val="009B0139"/>
    <w:rsid w:val="00A20B80"/>
    <w:rsid w:val="00A26957"/>
    <w:rsid w:val="00A81691"/>
    <w:rsid w:val="00AB3D68"/>
    <w:rsid w:val="00AC07C0"/>
    <w:rsid w:val="00AE70FD"/>
    <w:rsid w:val="00B167FA"/>
    <w:rsid w:val="00BA37D7"/>
    <w:rsid w:val="00BB4EF9"/>
    <w:rsid w:val="00C937A6"/>
    <w:rsid w:val="00CB1083"/>
    <w:rsid w:val="00CE0496"/>
    <w:rsid w:val="00CF4A32"/>
    <w:rsid w:val="00DB5D69"/>
    <w:rsid w:val="00DD5EB8"/>
    <w:rsid w:val="00E377EA"/>
    <w:rsid w:val="00E46C07"/>
    <w:rsid w:val="00F01A4F"/>
    <w:rsid w:val="00FA7988"/>
    <w:rsid w:val="00FF50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96B336"/>
  <w15:chartTrackingRefBased/>
  <w15:docId w15:val="{5387D82B-15BC-43DC-9726-800F1158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A6"/>
    <w:pPr>
      <w:spacing w:after="200" w:line="276" w:lineRule="auto"/>
    </w:pPr>
    <w:rPr>
      <w:rFonts w:eastAsiaTheme="minorEastAsia"/>
      <w:sz w:val="20"/>
    </w:rPr>
  </w:style>
  <w:style w:type="paragraph" w:styleId="Heading1">
    <w:name w:val="heading 1"/>
    <w:basedOn w:val="Normal"/>
    <w:next w:val="Normal"/>
    <w:link w:val="Heading1Char"/>
    <w:uiPriority w:val="9"/>
    <w:qFormat/>
    <w:rsid w:val="00C937A6"/>
    <w:pPr>
      <w:spacing w:after="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C937A6"/>
    <w:pPr>
      <w:spacing w:before="200" w:after="0"/>
      <w:outlineLvl w:val="1"/>
    </w:pPr>
    <w:rPr>
      <w:rFonts w:ascii="Calibri" w:eastAsiaTheme="majorEastAsia" w:hAnsi="Calibr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A6"/>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C937A6"/>
    <w:rPr>
      <w:rFonts w:ascii="Calibri" w:eastAsiaTheme="majorEastAsia" w:hAnsi="Calibri" w:cstheme="majorBidi"/>
      <w:b/>
      <w:bCs/>
      <w:sz w:val="24"/>
      <w:szCs w:val="26"/>
    </w:rPr>
  </w:style>
  <w:style w:type="character" w:styleId="Hyperlink">
    <w:name w:val="Hyperlink"/>
    <w:basedOn w:val="DefaultParagraphFont"/>
    <w:uiPriority w:val="99"/>
    <w:unhideWhenUsed/>
    <w:rsid w:val="00C937A6"/>
    <w:rPr>
      <w:color w:val="0563C1" w:themeColor="hyperlink"/>
      <w:u w:val="single"/>
    </w:rPr>
  </w:style>
  <w:style w:type="paragraph" w:styleId="Title">
    <w:name w:val="Title"/>
    <w:basedOn w:val="Normal"/>
    <w:next w:val="Normal"/>
    <w:link w:val="TitleChar"/>
    <w:uiPriority w:val="10"/>
    <w:qFormat/>
    <w:rsid w:val="00C937A6"/>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C937A6"/>
    <w:rPr>
      <w:rFonts w:ascii="Calibri" w:eastAsiaTheme="majorEastAsia" w:hAnsi="Calibri" w:cstheme="majorBidi"/>
      <w:b/>
      <w:color w:val="C00000"/>
      <w:spacing w:val="5"/>
      <w:sz w:val="56"/>
      <w:szCs w:val="52"/>
    </w:rPr>
  </w:style>
  <w:style w:type="paragraph" w:styleId="ListParagraph">
    <w:name w:val="List Paragraph"/>
    <w:basedOn w:val="Normal"/>
    <w:uiPriority w:val="34"/>
    <w:qFormat/>
    <w:rsid w:val="00C937A6"/>
    <w:pPr>
      <w:ind w:left="720"/>
      <w:contextualSpacing/>
    </w:pPr>
  </w:style>
  <w:style w:type="paragraph" w:styleId="ListBullet">
    <w:name w:val="List Bullet"/>
    <w:basedOn w:val="Normal"/>
    <w:uiPriority w:val="99"/>
    <w:unhideWhenUsed/>
    <w:rsid w:val="00C937A6"/>
    <w:pPr>
      <w:numPr>
        <w:numId w:val="1"/>
      </w:numPr>
      <w:spacing w:after="120"/>
      <w:contextualSpacing/>
    </w:pPr>
  </w:style>
  <w:style w:type="paragraph" w:styleId="ListBullet2">
    <w:name w:val="List Bullet 2"/>
    <w:basedOn w:val="Normal"/>
    <w:uiPriority w:val="99"/>
    <w:unhideWhenUsed/>
    <w:rsid w:val="00C937A6"/>
    <w:pPr>
      <w:numPr>
        <w:ilvl w:val="1"/>
        <w:numId w:val="1"/>
      </w:numPr>
      <w:spacing w:after="120"/>
      <w:ind w:left="766" w:hanging="369"/>
      <w:contextualSpacing/>
    </w:pPr>
  </w:style>
  <w:style w:type="paragraph" w:styleId="ListBullet3">
    <w:name w:val="List Bullet 3"/>
    <w:basedOn w:val="Normal"/>
    <w:uiPriority w:val="99"/>
    <w:unhideWhenUsed/>
    <w:rsid w:val="00C937A6"/>
    <w:pPr>
      <w:numPr>
        <w:ilvl w:val="2"/>
        <w:numId w:val="1"/>
      </w:numPr>
      <w:spacing w:after="120"/>
      <w:ind w:left="1163" w:hanging="369"/>
      <w:contextualSpacing/>
    </w:pPr>
  </w:style>
  <w:style w:type="paragraph" w:styleId="ListBullet4">
    <w:name w:val="List Bullet 4"/>
    <w:basedOn w:val="Normal"/>
    <w:uiPriority w:val="99"/>
    <w:unhideWhenUsed/>
    <w:rsid w:val="00C937A6"/>
    <w:pPr>
      <w:numPr>
        <w:ilvl w:val="3"/>
        <w:numId w:val="1"/>
      </w:numPr>
      <w:spacing w:after="120"/>
      <w:ind w:left="1503" w:hanging="369"/>
      <w:contextualSpacing/>
    </w:pPr>
  </w:style>
  <w:style w:type="table" w:styleId="TableGrid">
    <w:name w:val="Table Grid"/>
    <w:basedOn w:val="TableNormal"/>
    <w:uiPriority w:val="99"/>
    <w:rsid w:val="00C937A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7A6"/>
    <w:rPr>
      <w:rFonts w:eastAsiaTheme="minorEastAsia"/>
      <w:sz w:val="20"/>
    </w:rPr>
  </w:style>
  <w:style w:type="paragraph" w:styleId="Footer">
    <w:name w:val="footer"/>
    <w:basedOn w:val="Normal"/>
    <w:link w:val="FooterChar"/>
    <w:uiPriority w:val="99"/>
    <w:unhideWhenUsed/>
    <w:rsid w:val="00C93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7A6"/>
    <w:rPr>
      <w:rFonts w:eastAsiaTheme="minorEastAsia"/>
      <w:sz w:val="20"/>
    </w:rPr>
  </w:style>
  <w:style w:type="paragraph" w:customStyle="1" w:styleId="OFSCHeading2">
    <w:name w:val="OFSC Heading 2"/>
    <w:basedOn w:val="Normal"/>
    <w:qFormat/>
    <w:rsid w:val="00C937A6"/>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 w:type="character" w:styleId="PlaceholderText">
    <w:name w:val="Placeholder Text"/>
    <w:basedOn w:val="DefaultParagraphFont"/>
    <w:uiPriority w:val="99"/>
    <w:semiHidden/>
    <w:rsid w:val="00C937A6"/>
    <w:rPr>
      <w:color w:val="808080"/>
    </w:rPr>
  </w:style>
  <w:style w:type="paragraph" w:styleId="BalloonText">
    <w:name w:val="Balloon Text"/>
    <w:basedOn w:val="Normal"/>
    <w:link w:val="BalloonTextChar"/>
    <w:uiPriority w:val="99"/>
    <w:semiHidden/>
    <w:unhideWhenUsed/>
    <w:rsid w:val="00AE7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0F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6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CEF2CD81314AF38226FC3F25A483E1"/>
        <w:category>
          <w:name w:val="General"/>
          <w:gallery w:val="placeholder"/>
        </w:category>
        <w:types>
          <w:type w:val="bbPlcHdr"/>
        </w:types>
        <w:behaviors>
          <w:behavior w:val="content"/>
        </w:behaviors>
        <w:guid w:val="{8CFCB252-3B22-4694-9737-E46CD990B2D3}"/>
      </w:docPartPr>
      <w:docPartBody>
        <w:p w:rsidR="00167CBF" w:rsidRDefault="00C944DC" w:rsidP="00C944DC">
          <w:pPr>
            <w:pStyle w:val="5ECEF2CD81314AF38226FC3F25A483E1"/>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DC"/>
    <w:rsid w:val="00167CBF"/>
    <w:rsid w:val="001A47D3"/>
    <w:rsid w:val="00594DB0"/>
    <w:rsid w:val="00C94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4DC"/>
    <w:rPr>
      <w:color w:val="808080"/>
    </w:rPr>
  </w:style>
  <w:style w:type="paragraph" w:customStyle="1" w:styleId="5ECEF2CD81314AF38226FC3F25A483E1">
    <w:name w:val="5ECEF2CD81314AF38226FC3F25A483E1"/>
    <w:rsid w:val="00C94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75298-5EC2-4C01-B147-297938C017A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372B4B-5DB1-4084-8EA4-B5FBBA8BC915}">
  <ds:schemaRefs>
    <ds:schemaRef ds:uri="http://schemas.microsoft.com/sharepoint/v3/contenttype/forms"/>
  </ds:schemaRefs>
</ds:datastoreItem>
</file>

<file path=customXml/itemProps3.xml><?xml version="1.0" encoding="utf-8"?>
<ds:datastoreItem xmlns:ds="http://schemas.openxmlformats.org/officeDocument/2006/customXml" ds:itemID="{3930C9B6-D7DA-4944-A9CB-995D4A1D7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Fact Sheet – Scheme Rule Changes</vt:lpstr>
    </vt:vector>
  </TitlesOfParts>
  <Company>Australian Government</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Scheme Rule Changes</dc:title>
  <dc:subject/>
  <dc:creator>WELCH,Beccy</dc:creator>
  <cp:keywords/>
  <dc:description/>
  <cp:lastModifiedBy>MATTON-JOHNSON,Elanor</cp:lastModifiedBy>
  <cp:revision>2</cp:revision>
  <cp:lastPrinted>2022-08-30T04:52:00Z</cp:lastPrinted>
  <dcterms:created xsi:type="dcterms:W3CDTF">2023-02-06T03:38:00Z</dcterms:created>
  <dcterms:modified xsi:type="dcterms:W3CDTF">2023-02-06T03:38:00Z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2022-08-08T03:52:49Z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b045ef8b-7dd7-4399-bdde-e1da55ded7a2</vt:lpwstr>
  </property>
  <property fmtid="{D5CDD505-2E9C-101B-9397-08002B2CF9AE}" pid="9" name="MSIP_Label_79d889eb-932f-4752-8739-64d25806ef64_ContentBits">
    <vt:lpwstr>0</vt:lpwstr>
  </property>
</Properties>
</file>