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B827A" w14:textId="440A41D5" w:rsidR="002A610F" w:rsidRPr="00D17020" w:rsidRDefault="00D17020" w:rsidP="00D17020">
      <w:pPr>
        <w:ind w:left="1276" w:right="329"/>
        <w:rPr>
          <w:rFonts w:ascii="Calibri" w:eastAsiaTheme="majorEastAsia" w:hAnsi="Calibri" w:cstheme="majorBidi"/>
          <w:b/>
          <w:color w:val="C00000"/>
          <w:spacing w:val="5"/>
          <w:sz w:val="40"/>
          <w:szCs w:val="52"/>
        </w:rPr>
        <w:sectPr w:rsidR="002A610F" w:rsidRPr="00D17020" w:rsidSect="002A610F">
          <w:footerReference w:type="default" r:id="rId11"/>
          <w:type w:val="continuous"/>
          <w:pgSz w:w="11906" w:h="16838"/>
          <w:pgMar w:top="0" w:right="991" w:bottom="1440" w:left="238" w:header="709" w:footer="567" w:gutter="0"/>
          <w:cols w:space="708"/>
          <w:docGrid w:linePitch="360"/>
        </w:sectPr>
      </w:pPr>
      <w:r w:rsidRPr="00A13CB9">
        <w:rPr>
          <w:rFonts w:eastAsia="Times New Roman" w:cs="Times New Roman"/>
          <w:b/>
          <w:noProof/>
          <w:sz w:val="44"/>
          <w:szCs w:val="44"/>
          <w:lang w:eastAsia="en-AU"/>
        </w:rPr>
        <w:drawing>
          <wp:anchor distT="0" distB="0" distL="114300" distR="114300" simplePos="0" relativeHeight="251686912" behindDoc="0" locked="0" layoutInCell="1" allowOverlap="1" wp14:anchorId="15DF46A7" wp14:editId="25AE6433">
            <wp:simplePos x="0" y="0"/>
            <wp:positionH relativeFrom="margin">
              <wp:posOffset>-151130</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eastAsiaTheme="majorEastAsia" w:hAnsi="Calibri" w:cstheme="majorBidi"/>
            <w:b/>
            <w:color w:val="C00000"/>
            <w:spacing w:val="5"/>
            <w:sz w:val="40"/>
            <w:szCs w:val="52"/>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r w:rsidR="002A610F" w:rsidRPr="00D17020">
            <w:rPr>
              <w:rFonts w:ascii="Calibri" w:eastAsiaTheme="majorEastAsia" w:hAnsi="Calibri" w:cstheme="majorBidi"/>
              <w:b/>
              <w:color w:val="C00000"/>
              <w:spacing w:val="5"/>
              <w:sz w:val="40"/>
              <w:szCs w:val="52"/>
            </w:rPr>
            <w:t>Fact Sheet</w:t>
          </w:r>
          <w:r w:rsidR="00D115E7" w:rsidRPr="00D17020">
            <w:rPr>
              <w:rFonts w:ascii="Calibri" w:eastAsiaTheme="majorEastAsia" w:hAnsi="Calibri" w:cstheme="majorBidi"/>
              <w:b/>
              <w:color w:val="C00000"/>
              <w:spacing w:val="5"/>
              <w:sz w:val="40"/>
              <w:szCs w:val="52"/>
            </w:rPr>
            <w:t xml:space="preserve"> – Applying the Scheme to indirectly funded building work</w:t>
          </w:r>
        </w:sdtContent>
      </w:sdt>
      <w:bookmarkStart w:id="0" w:name="_Toc364946114"/>
    </w:p>
    <w:p w14:paraId="55697842" w14:textId="6163DB1B" w:rsidR="002A610F" w:rsidRPr="00055C1B" w:rsidRDefault="002A610F" w:rsidP="00D115E7">
      <w:r w:rsidRPr="00B6518B">
        <w:t xml:space="preserve">The </w:t>
      </w:r>
      <w:r w:rsidR="00F30EC0" w:rsidRPr="00FF10C4">
        <w:rPr>
          <w:rFonts w:cstheme="minorHAnsi"/>
        </w:rPr>
        <w:t>Work Health and Safety Accreditation Scheme</w:t>
      </w:r>
      <w:r>
        <w:t xml:space="preserve"> </w:t>
      </w:r>
      <w:r w:rsidR="006C7513">
        <w:t xml:space="preserve">(the Scheme) </w:t>
      </w:r>
      <w:r w:rsidRPr="00055C1B">
        <w:t xml:space="preserve">operates such that, subject to certain thresholds, only </w:t>
      </w:r>
      <w:r w:rsidR="00D907BB">
        <w:t>builders</w:t>
      </w:r>
      <w:r w:rsidRPr="00055C1B">
        <w:t xml:space="preserve"> who are accredited under the Scheme can enter into </w:t>
      </w:r>
      <w:r w:rsidR="00E93BD5">
        <w:t xml:space="preserve">head </w:t>
      </w:r>
      <w:r w:rsidRPr="00D115E7">
        <w:t>contracts for building</w:t>
      </w:r>
      <w:r w:rsidRPr="00055C1B">
        <w:t xml:space="preserve"> work funded directly or indirectly by the </w:t>
      </w:r>
      <w:r w:rsidR="006C7513">
        <w:t>Commonwealth or a corporate Commonwealth entity</w:t>
      </w:r>
      <w:r w:rsidRPr="00055C1B">
        <w:t>.</w:t>
      </w:r>
    </w:p>
    <w:p w14:paraId="5EAFA1F5" w14:textId="77777777" w:rsidR="00B67038" w:rsidRPr="00BB7B3D" w:rsidRDefault="00B67038" w:rsidP="00B67038">
      <w:pPr>
        <w:spacing w:line="20" w:lineRule="atLeast"/>
      </w:pPr>
      <w:r>
        <w:t xml:space="preserve">The information within this factsheet and the flowchart at </w:t>
      </w:r>
      <w:r w:rsidRPr="00920F2B">
        <w:rPr>
          <w:u w:val="single"/>
        </w:rPr>
        <w:t>Appendix 1</w:t>
      </w:r>
      <w:r>
        <w:t xml:space="preserve"> can assist organisations in understanding whether the Scheme applies to individual projects. </w:t>
      </w:r>
    </w:p>
    <w:p w14:paraId="4A375212" w14:textId="3B543CAE" w:rsidR="002A610F" w:rsidRPr="00055C1B" w:rsidRDefault="002A610F" w:rsidP="00D115E7">
      <w:r w:rsidRPr="00055C1B">
        <w:t xml:space="preserve">For more information on what constitutes building work, refer to our fact sheet </w:t>
      </w:r>
      <w:r w:rsidRPr="00E95723">
        <w:rPr>
          <w:b/>
          <w:bCs/>
        </w:rPr>
        <w:t>Definition</w:t>
      </w:r>
      <w:r w:rsidR="00B836D1">
        <w:rPr>
          <w:b/>
          <w:bCs/>
        </w:rPr>
        <w:t>s</w:t>
      </w:r>
      <w:r w:rsidRPr="00E95723">
        <w:rPr>
          <w:b/>
          <w:bCs/>
        </w:rPr>
        <w:t xml:space="preserve"> of ‘</w:t>
      </w:r>
      <w:r w:rsidR="00B653DF">
        <w:rPr>
          <w:b/>
          <w:bCs/>
        </w:rPr>
        <w:t>B</w:t>
      </w:r>
      <w:r w:rsidRPr="00E95723">
        <w:rPr>
          <w:b/>
          <w:bCs/>
        </w:rPr>
        <w:t>uilder’ and ‘</w:t>
      </w:r>
      <w:r w:rsidR="00B653DF">
        <w:rPr>
          <w:b/>
          <w:bCs/>
        </w:rPr>
        <w:t>B</w:t>
      </w:r>
      <w:r w:rsidRPr="00E95723">
        <w:rPr>
          <w:b/>
          <w:bCs/>
        </w:rPr>
        <w:t xml:space="preserve">uilding </w:t>
      </w:r>
      <w:r w:rsidR="00B653DF">
        <w:rPr>
          <w:b/>
          <w:bCs/>
        </w:rPr>
        <w:t>W</w:t>
      </w:r>
      <w:r w:rsidRPr="00E95723">
        <w:rPr>
          <w:b/>
          <w:bCs/>
        </w:rPr>
        <w:t>ork’</w:t>
      </w:r>
      <w:r w:rsidRPr="00055C1B">
        <w:t>.</w:t>
      </w:r>
      <w:r w:rsidR="001D3B48">
        <w:t xml:space="preserve"> </w:t>
      </w:r>
      <w:r w:rsidR="001D3B48" w:rsidRPr="001D3B48">
        <w:t xml:space="preserve">For further information on the Scheme and how it applies to directly funded building work, refer to the fact sheets </w:t>
      </w:r>
      <w:r w:rsidR="001D3B48" w:rsidRPr="00E95723">
        <w:rPr>
          <w:b/>
          <w:bCs/>
        </w:rPr>
        <w:t xml:space="preserve">Applying the Scheme to </w:t>
      </w:r>
      <w:r w:rsidR="00B653DF">
        <w:rPr>
          <w:b/>
          <w:bCs/>
        </w:rPr>
        <w:t>D</w:t>
      </w:r>
      <w:r w:rsidR="001D3B48" w:rsidRPr="00E95723">
        <w:rPr>
          <w:b/>
          <w:bCs/>
        </w:rPr>
        <w:t>irectly funded building work</w:t>
      </w:r>
      <w:r w:rsidR="001D3B48" w:rsidRPr="001D3B48">
        <w:t xml:space="preserve"> and </w:t>
      </w:r>
      <w:r w:rsidR="001D3B48" w:rsidRPr="00E95723">
        <w:rPr>
          <w:b/>
          <w:bCs/>
        </w:rPr>
        <w:t xml:space="preserve">Contracting for Australian Government </w:t>
      </w:r>
      <w:r w:rsidR="00B653DF">
        <w:rPr>
          <w:b/>
          <w:bCs/>
        </w:rPr>
        <w:t>f</w:t>
      </w:r>
      <w:r w:rsidR="001D3B48" w:rsidRPr="00E95723">
        <w:rPr>
          <w:b/>
          <w:bCs/>
        </w:rPr>
        <w:t xml:space="preserve">unded </w:t>
      </w:r>
      <w:r w:rsidR="00B653DF">
        <w:rPr>
          <w:b/>
          <w:bCs/>
        </w:rPr>
        <w:t>b</w:t>
      </w:r>
      <w:r w:rsidR="001D3B48" w:rsidRPr="00E95723">
        <w:rPr>
          <w:b/>
          <w:bCs/>
        </w:rPr>
        <w:t xml:space="preserve">uilding </w:t>
      </w:r>
      <w:r w:rsidR="00B653DF">
        <w:rPr>
          <w:b/>
          <w:bCs/>
        </w:rPr>
        <w:t>w</w:t>
      </w:r>
      <w:r w:rsidR="001D3B48" w:rsidRPr="00E95723">
        <w:rPr>
          <w:b/>
          <w:bCs/>
        </w:rPr>
        <w:t>ork</w:t>
      </w:r>
      <w:r w:rsidR="00BA0BE9">
        <w:t>.</w:t>
      </w:r>
    </w:p>
    <w:p w14:paraId="47544B10" w14:textId="77777777" w:rsidR="002A610F" w:rsidRPr="008F325B" w:rsidRDefault="002A610F" w:rsidP="00D115E7">
      <w:pPr>
        <w:pStyle w:val="Heading1"/>
        <w:rPr>
          <w:sz w:val="24"/>
          <w:szCs w:val="24"/>
        </w:rPr>
      </w:pPr>
      <w:r w:rsidRPr="008F325B">
        <w:rPr>
          <w:sz w:val="24"/>
          <w:szCs w:val="24"/>
        </w:rPr>
        <w:t>What is indirectly funded building work?</w:t>
      </w:r>
    </w:p>
    <w:p w14:paraId="07D08C71" w14:textId="77777777" w:rsidR="002A610F" w:rsidRDefault="002A610F" w:rsidP="00D115E7">
      <w:r w:rsidRPr="00264A9F">
        <w:t xml:space="preserve">Projects are considered indirectly funded where </w:t>
      </w:r>
      <w:r>
        <w:t>the</w:t>
      </w:r>
      <w:r w:rsidRPr="00264A9F">
        <w:t xml:space="preserve"> </w:t>
      </w:r>
      <w:r w:rsidR="006C7513">
        <w:t>Commonwealth or a corporate Commonwealth entity</w:t>
      </w:r>
      <w:r w:rsidR="006C7513" w:rsidRPr="00264A9F">
        <w:t xml:space="preserve"> </w:t>
      </w:r>
      <w:r w:rsidRPr="00264A9F">
        <w:t>contributes funding</w:t>
      </w:r>
      <w:r>
        <w:t xml:space="preserve"> to a recipient through a funding agreement, </w:t>
      </w:r>
      <w:proofErr w:type="gramStart"/>
      <w:r w:rsidRPr="00264A9F">
        <w:t>grant</w:t>
      </w:r>
      <w:proofErr w:type="gramEnd"/>
      <w:r w:rsidRPr="00264A9F">
        <w:t xml:space="preserve"> or other program</w:t>
      </w:r>
      <w:r>
        <w:t>.</w:t>
      </w:r>
      <w:r w:rsidRPr="00264A9F">
        <w:t xml:space="preserve"> </w:t>
      </w:r>
      <w:r>
        <w:t xml:space="preserve">The recipient, such as a state government, council or private company, may carry out the work themselves or </w:t>
      </w:r>
      <w:r w:rsidRPr="00264A9F">
        <w:t>contract with a person who:</w:t>
      </w:r>
    </w:p>
    <w:p w14:paraId="66A8868B" w14:textId="77777777" w:rsidR="002A610F" w:rsidRPr="00264A9F" w:rsidRDefault="002A610F" w:rsidP="00D115E7">
      <w:pPr>
        <w:pStyle w:val="ListBullet"/>
      </w:pPr>
      <w:r w:rsidRPr="00264A9F">
        <w:t>will carry out building work; or</w:t>
      </w:r>
    </w:p>
    <w:p w14:paraId="6A3E64E0" w14:textId="77777777" w:rsidR="002A610F" w:rsidRDefault="006C7513" w:rsidP="00882592">
      <w:pPr>
        <w:pStyle w:val="ListBullet"/>
        <w:spacing w:after="200"/>
        <w:ind w:left="357" w:hanging="357"/>
      </w:pPr>
      <w:r>
        <w:t xml:space="preserve">will </w:t>
      </w:r>
      <w:r w:rsidR="002A610F" w:rsidRPr="00264A9F">
        <w:t>arrange for building work to be carried out.</w:t>
      </w:r>
    </w:p>
    <w:p w14:paraId="76B0D22B" w14:textId="77777777" w:rsidR="002A610F" w:rsidRDefault="002A610F" w:rsidP="00D115E7">
      <w:r w:rsidRPr="00264A9F">
        <w:t xml:space="preserve">This includes building work </w:t>
      </w:r>
      <w:r w:rsidR="006C7513">
        <w:t>funded by the Commonwealth or a corporate Commonwealth entity</w:t>
      </w:r>
      <w:r w:rsidRPr="00264A9F">
        <w:t xml:space="preserve"> </w:t>
      </w:r>
      <w:r>
        <w:t xml:space="preserve">through a </w:t>
      </w:r>
      <w:r w:rsidRPr="00264A9F">
        <w:t>funding agreement or grant, for example,</w:t>
      </w:r>
      <w:r>
        <w:t xml:space="preserve"> </w:t>
      </w:r>
      <w:r w:rsidRPr="00264A9F">
        <w:t>Bui</w:t>
      </w:r>
      <w:r>
        <w:t xml:space="preserve">ld Own Operate (BOO), Build Own </w:t>
      </w:r>
      <w:r w:rsidRPr="00264A9F">
        <w:t>Operate Transfer (BOOT),</w:t>
      </w:r>
      <w:r>
        <w:t xml:space="preserve"> </w:t>
      </w:r>
      <w:r w:rsidRPr="00264A9F">
        <w:t>and pre-</w:t>
      </w:r>
      <w:r w:rsidR="006C7513">
        <w:t>construction agreement</w:t>
      </w:r>
      <w:r>
        <w:t>s. All pre-</w:t>
      </w:r>
      <w:r w:rsidR="006C7513">
        <w:t>construction</w:t>
      </w:r>
      <w:r>
        <w:t xml:space="preserve"> </w:t>
      </w:r>
      <w:r w:rsidR="006C7513">
        <w:t>agreement</w:t>
      </w:r>
      <w:r>
        <w:t xml:space="preserve">s </w:t>
      </w:r>
      <w:r w:rsidRPr="00264A9F">
        <w:t>are</w:t>
      </w:r>
      <w:r>
        <w:t xml:space="preserve"> </w:t>
      </w:r>
      <w:r w:rsidRPr="00264A9F">
        <w:t>covered by the Scheme, and where they are funded by the</w:t>
      </w:r>
      <w:r>
        <w:t xml:space="preserve"> </w:t>
      </w:r>
      <w:r w:rsidR="006C7513">
        <w:t>Commonwealth or a corporate Commonwealth entity</w:t>
      </w:r>
      <w:r w:rsidR="006C7513" w:rsidRPr="00264A9F">
        <w:t xml:space="preserve"> </w:t>
      </w:r>
      <w:r w:rsidRPr="00264A9F">
        <w:t>through an agreement or grant,</w:t>
      </w:r>
      <w:r>
        <w:t xml:space="preserve"> </w:t>
      </w:r>
      <w:r w:rsidRPr="00264A9F">
        <w:t>the indirect thresholds will apply.</w:t>
      </w:r>
    </w:p>
    <w:p w14:paraId="7AFB051F" w14:textId="77777777" w:rsidR="008F325B" w:rsidRDefault="008F325B" w:rsidP="00D115E7"/>
    <w:p w14:paraId="787BB1EE" w14:textId="74CD1712" w:rsidR="002A610F" w:rsidRDefault="002A610F" w:rsidP="00D115E7">
      <w:r w:rsidRPr="0069093A">
        <w:t>Examples of indirectly funded building work include:</w:t>
      </w:r>
    </w:p>
    <w:p w14:paraId="3C65F078" w14:textId="77777777" w:rsidR="002A610F" w:rsidRPr="00CC0915" w:rsidRDefault="002A610F" w:rsidP="00D115E7">
      <w:pPr>
        <w:pStyle w:val="ListBullet"/>
      </w:pPr>
      <w:r w:rsidRPr="00CC0915">
        <w:t xml:space="preserve">road construction projects funded by the </w:t>
      </w:r>
      <w:r w:rsidR="006C7513">
        <w:t>Commonwealth or a corporate Commonwealth entity.</w:t>
      </w:r>
    </w:p>
    <w:p w14:paraId="2DC712EC" w14:textId="77777777" w:rsidR="002A610F" w:rsidRDefault="002A610F" w:rsidP="00920F2B">
      <w:pPr>
        <w:pStyle w:val="ListBullet"/>
        <w:spacing w:after="200"/>
        <w:ind w:left="357" w:hanging="357"/>
      </w:pPr>
      <w:r w:rsidRPr="00CC0915">
        <w:t xml:space="preserve">a new school built by a state or territory government using funding provided by the </w:t>
      </w:r>
      <w:r w:rsidR="006C7513">
        <w:t>Commonwealth or a corporate Commonwealth entity</w:t>
      </w:r>
      <w:r w:rsidRPr="00CC0915">
        <w:t>.</w:t>
      </w:r>
    </w:p>
    <w:p w14:paraId="032E61FD" w14:textId="77777777" w:rsidR="001D3B48" w:rsidRPr="008F325B" w:rsidRDefault="001D3B48" w:rsidP="001D3B48">
      <w:pPr>
        <w:pStyle w:val="Heading1"/>
        <w:rPr>
          <w:sz w:val="24"/>
          <w:szCs w:val="24"/>
        </w:rPr>
      </w:pPr>
      <w:r w:rsidRPr="008F325B">
        <w:rPr>
          <w:sz w:val="24"/>
          <w:szCs w:val="24"/>
        </w:rPr>
        <w:t>Are there any indirectly funded projects the Scheme does not apply to?</w:t>
      </w:r>
    </w:p>
    <w:p w14:paraId="2571E554" w14:textId="77777777" w:rsidR="001D3B48" w:rsidRPr="00264A9F" w:rsidRDefault="001D3B48" w:rsidP="001D3B48">
      <w:r w:rsidRPr="00264A9F">
        <w:t>The Scheme does not apply to projects indirectly funded by</w:t>
      </w:r>
      <w:r>
        <w:t xml:space="preserve"> the Commonwealth or a corporate Commonwealth entity</w:t>
      </w:r>
      <w:r w:rsidRPr="00264A9F">
        <w:t xml:space="preserve"> if:</w:t>
      </w:r>
    </w:p>
    <w:p w14:paraId="1D7786C3" w14:textId="3F63D3B2" w:rsidR="001D3B48" w:rsidRDefault="001D3B48" w:rsidP="001D3B48">
      <w:pPr>
        <w:pStyle w:val="ListBullet"/>
      </w:pPr>
      <w:r>
        <w:t>the building work is prescribed under section</w:t>
      </w:r>
      <w:r w:rsidR="009856EF">
        <w:t> </w:t>
      </w:r>
      <w:r>
        <w:t>26 of the Building and Construction Industry</w:t>
      </w:r>
      <w:r w:rsidRPr="0043732E">
        <w:t xml:space="preserve"> (</w:t>
      </w:r>
      <w:r>
        <w:t>Improving Productivity) (</w:t>
      </w:r>
      <w:r w:rsidRPr="0043732E">
        <w:t>Accre</w:t>
      </w:r>
      <w:r>
        <w:t>ditation Scheme) Rules 2019; or</w:t>
      </w:r>
    </w:p>
    <w:p w14:paraId="0D7996A6" w14:textId="52698FC9" w:rsidR="001D3B48" w:rsidRDefault="001D3B48" w:rsidP="00920F2B">
      <w:pPr>
        <w:pStyle w:val="ListBullet"/>
        <w:spacing w:after="200"/>
        <w:ind w:left="357" w:hanging="357"/>
      </w:pPr>
      <w:r>
        <w:t>the value of the funding contribution made by the Commonwealth or a corporate Commonwealth entity</w:t>
      </w:r>
      <w:r w:rsidR="007C3FCE">
        <w:t xml:space="preserve"> to the project</w:t>
      </w:r>
      <w:r>
        <w:t xml:space="preserve"> or the</w:t>
      </w:r>
      <w:r w:rsidR="007C3FCE">
        <w:t xml:space="preserve"> value of the</w:t>
      </w:r>
      <w:r>
        <w:t xml:space="preserve"> </w:t>
      </w:r>
      <w:r w:rsidR="009856EF">
        <w:t>‘</w:t>
      </w:r>
      <w:r>
        <w:t>head contract</w:t>
      </w:r>
      <w:r w:rsidR="009856EF">
        <w:t xml:space="preserve"> for building work’</w:t>
      </w:r>
      <w:r w:rsidRPr="00264A9F">
        <w:t xml:space="preserve"> is below the specified indirect</w:t>
      </w:r>
      <w:r>
        <w:t xml:space="preserve"> </w:t>
      </w:r>
      <w:r w:rsidRPr="00264A9F">
        <w:t>funding thresholds</w:t>
      </w:r>
      <w:r w:rsidR="007C3FCE">
        <w:t xml:space="preserve"> (see below)</w:t>
      </w:r>
      <w:r w:rsidRPr="00264A9F">
        <w:t>.</w:t>
      </w:r>
    </w:p>
    <w:p w14:paraId="786E3858" w14:textId="77777777" w:rsidR="002A610F" w:rsidRPr="008F325B" w:rsidRDefault="002A610F" w:rsidP="00D115E7">
      <w:pPr>
        <w:pStyle w:val="Heading1"/>
        <w:rPr>
          <w:sz w:val="24"/>
          <w:szCs w:val="24"/>
        </w:rPr>
      </w:pPr>
      <w:r w:rsidRPr="008F325B">
        <w:rPr>
          <w:sz w:val="24"/>
          <w:szCs w:val="24"/>
        </w:rPr>
        <w:t>What thresholds apply to indirectly funded building work?</w:t>
      </w:r>
    </w:p>
    <w:p w14:paraId="75C10502" w14:textId="4CC85EB3" w:rsidR="001C5A6F" w:rsidRDefault="00B412C9" w:rsidP="00882592">
      <w:r>
        <w:t>The thresholds under the Scheme for indirectly funded building work apply at both the project and contract</w:t>
      </w:r>
      <w:r w:rsidR="00A61E3E">
        <w:t>/funding agreement</w:t>
      </w:r>
      <w:r>
        <w:t xml:space="preserve"> level. </w:t>
      </w:r>
      <w:r w:rsidR="001C5A6F">
        <w:t>Determining whether an accredited builder is required to undertake building work</w:t>
      </w:r>
      <w:r>
        <w:t xml:space="preserve"> under a project</w:t>
      </w:r>
      <w:r w:rsidR="001C5A6F">
        <w:t xml:space="preserve"> involves a two-step process.</w:t>
      </w:r>
    </w:p>
    <w:p w14:paraId="7388686C" w14:textId="5A96A7B9" w:rsidR="005A3F08" w:rsidRDefault="001C5A6F" w:rsidP="00882592">
      <w:r>
        <w:t xml:space="preserve">The first step is to establish the </w:t>
      </w:r>
      <w:r w:rsidR="00CF45D3">
        <w:t>value</w:t>
      </w:r>
      <w:r>
        <w:t xml:space="preserve"> of funding provided by the Commonwealth </w:t>
      </w:r>
      <w:r w:rsidR="005A3F08">
        <w:t>or a corporate Commonwealth entity to support a project. A project include</w:t>
      </w:r>
      <w:r w:rsidR="00B412C9">
        <w:t>s</w:t>
      </w:r>
      <w:r w:rsidR="005A3F08">
        <w:t xml:space="preserve"> </w:t>
      </w:r>
      <w:r w:rsidR="005A3F08" w:rsidRPr="005A3F08">
        <w:t xml:space="preserve">all the activities that are encompassed by a separate funding arrangement </w:t>
      </w:r>
      <w:r w:rsidR="005A3F08">
        <w:t>including any building work. If the contribution to the project by the Commonwealth or a corporate Commonwealth entity is:</w:t>
      </w:r>
    </w:p>
    <w:p w14:paraId="1A654B65" w14:textId="14980E2B" w:rsidR="005A3F08" w:rsidRDefault="005A3F08" w:rsidP="005A3F08">
      <w:pPr>
        <w:pStyle w:val="ListBullet"/>
      </w:pPr>
      <w:r w:rsidRPr="005A3F08">
        <w:lastRenderedPageBreak/>
        <w:t>at least $6 million (GST</w:t>
      </w:r>
      <w:r w:rsidR="00AF2181">
        <w:t xml:space="preserve"> inclusive</w:t>
      </w:r>
      <w:r w:rsidRPr="005A3F08">
        <w:t>) and represents at least 50 per cent of the total project</w:t>
      </w:r>
      <w:r>
        <w:t xml:space="preserve"> value; </w:t>
      </w:r>
      <w:r w:rsidRPr="005A3F08">
        <w:rPr>
          <w:b/>
          <w:bCs/>
        </w:rPr>
        <w:t>OR</w:t>
      </w:r>
    </w:p>
    <w:p w14:paraId="336EAEF0" w14:textId="47C2A27C" w:rsidR="005A3F08" w:rsidRDefault="005A3F08" w:rsidP="00882592">
      <w:pPr>
        <w:pStyle w:val="ListBullet"/>
        <w:spacing w:after="200"/>
        <w:ind w:left="357" w:hanging="357"/>
      </w:pPr>
      <w:r w:rsidRPr="005A3F08">
        <w:t>is at least $10 million (GST</w:t>
      </w:r>
      <w:r w:rsidR="00AF2181">
        <w:t xml:space="preserve"> inclusive</w:t>
      </w:r>
      <w:r w:rsidRPr="005A3F08">
        <w:t>)</w:t>
      </w:r>
      <w:r>
        <w:t>;</w:t>
      </w:r>
    </w:p>
    <w:p w14:paraId="64CA31F3" w14:textId="4DFD04DC" w:rsidR="005A3F08" w:rsidRDefault="005A3F08" w:rsidP="00882592">
      <w:r>
        <w:t>the project will be captured under the Scheme. If these thresholds are not met,</w:t>
      </w:r>
      <w:r w:rsidR="00415567">
        <w:t xml:space="preserve"> there </w:t>
      </w:r>
      <w:r w:rsidR="009B4E68">
        <w:t xml:space="preserve">is </w:t>
      </w:r>
      <w:r w:rsidR="00415567">
        <w:t>no requirement for an accredited builder to undertake any building work under the project.</w:t>
      </w:r>
    </w:p>
    <w:p w14:paraId="7E38FD32" w14:textId="7BDDC4C5" w:rsidR="00415567" w:rsidRDefault="009B4E68" w:rsidP="00882592">
      <w:r>
        <w:t xml:space="preserve">Where a project is captured under the Scheme, the second step is to establish whether an accredited builder is required to undertake any building work under the project. This will be dependent on the contractual arrangements for the project. An accredited builder must be engaged if a </w:t>
      </w:r>
      <w:r w:rsidR="00A61E3E">
        <w:t>‘</w:t>
      </w:r>
      <w:r>
        <w:t>head contract for building work</w:t>
      </w:r>
      <w:r w:rsidR="00A61E3E">
        <w:t>’</w:t>
      </w:r>
      <w:r>
        <w:t xml:space="preserve"> under the project has a value of at least $4 million (GST inclusive).</w:t>
      </w:r>
    </w:p>
    <w:p w14:paraId="40DE6738" w14:textId="5962BD63" w:rsidR="00AF2181" w:rsidRPr="00882592" w:rsidRDefault="00AF2181" w:rsidP="00882592">
      <w:r w:rsidRPr="00882592">
        <w:t>The flowchart at Appendix 1 provides further assistance in determining whether an accredited builder must be engaged for a project.</w:t>
      </w:r>
    </w:p>
    <w:p w14:paraId="1747B04C" w14:textId="42AD3BA1" w:rsidR="009B4E68" w:rsidRPr="008F325B" w:rsidRDefault="009B4E68" w:rsidP="009B4E68">
      <w:pPr>
        <w:pStyle w:val="Heading1"/>
        <w:rPr>
          <w:sz w:val="24"/>
          <w:szCs w:val="24"/>
        </w:rPr>
      </w:pPr>
      <w:r w:rsidRPr="008F325B">
        <w:rPr>
          <w:sz w:val="24"/>
          <w:szCs w:val="24"/>
        </w:rPr>
        <w:t>What is a head contract for building work?</w:t>
      </w:r>
    </w:p>
    <w:p w14:paraId="1EEDDF52" w14:textId="1732A145" w:rsidR="001D3B48" w:rsidRDefault="009B4E68" w:rsidP="00882592">
      <w:r w:rsidRPr="009B4E68">
        <w:t xml:space="preserve">A ‘head contract for building work’ is </w:t>
      </w:r>
      <w:r w:rsidR="00E95723" w:rsidRPr="00E95723">
        <w:t xml:space="preserve">the </w:t>
      </w:r>
      <w:proofErr w:type="gramStart"/>
      <w:r w:rsidR="00E95723" w:rsidRPr="00E95723">
        <w:t>highest level</w:t>
      </w:r>
      <w:proofErr w:type="gramEnd"/>
      <w:r w:rsidR="00E95723" w:rsidRPr="00E95723">
        <w:t xml:space="preserve"> contract or funding agreement enacted for a project </w:t>
      </w:r>
      <w:r w:rsidRPr="009B4E68">
        <w:t>that includes building work and where the entity entering into the contract</w:t>
      </w:r>
      <w:r w:rsidR="007E0F95">
        <w:t xml:space="preserve"> or agreement</w:t>
      </w:r>
      <w:r w:rsidRPr="009B4E68">
        <w:t xml:space="preserve"> undertakes the building work themselves. </w:t>
      </w:r>
      <w:r w:rsidR="001D3B48" w:rsidRPr="009B4E68">
        <w:t xml:space="preserve">This entity </w:t>
      </w:r>
      <w:r w:rsidR="00B412C9">
        <w:t>is</w:t>
      </w:r>
      <w:r w:rsidR="001D3B48" w:rsidRPr="009B4E68">
        <w:t xml:space="preserve"> </w:t>
      </w:r>
      <w:r w:rsidR="00156032">
        <w:t>defined as</w:t>
      </w:r>
      <w:r w:rsidR="001D3B48" w:rsidRPr="009B4E68">
        <w:t xml:space="preserve"> a ‘builder’ </w:t>
      </w:r>
      <w:r w:rsidR="00CF49E1">
        <w:t>for the purpose</w:t>
      </w:r>
      <w:r w:rsidR="001D3B48" w:rsidRPr="009B4E68">
        <w:t>s</w:t>
      </w:r>
      <w:r w:rsidR="00CF49E1">
        <w:t xml:space="preserve"> of the Scheme</w:t>
      </w:r>
      <w:r w:rsidR="001D3B48">
        <w:t>.</w:t>
      </w:r>
    </w:p>
    <w:p w14:paraId="1C847472" w14:textId="494F92E0" w:rsidR="001D3B48" w:rsidRDefault="001D3B48" w:rsidP="00882592">
      <w:r>
        <w:t>The total value of the contract</w:t>
      </w:r>
      <w:r w:rsidR="007E0F95">
        <w:t xml:space="preserve"> or agreement</w:t>
      </w:r>
      <w:r>
        <w:t xml:space="preserve"> must be considered when establishing whether the $4</w:t>
      </w:r>
      <w:r w:rsidR="007E0F95">
        <w:t> </w:t>
      </w:r>
      <w:r>
        <w:t>million threshold has been reached, regardless of the value of the building works component of the contract</w:t>
      </w:r>
      <w:r w:rsidR="00B501D7">
        <w:t xml:space="preserve"> or agreement</w:t>
      </w:r>
      <w:r>
        <w:t>.</w:t>
      </w:r>
    </w:p>
    <w:p w14:paraId="0CB596E2" w14:textId="18E62A2B" w:rsidR="00156032" w:rsidRDefault="007E0F95" w:rsidP="00882592">
      <w:r>
        <w:t>W</w:t>
      </w:r>
      <w:r w:rsidR="00F14753">
        <w:t>here a funding recipient</w:t>
      </w:r>
      <w:r>
        <w:t xml:space="preserve"> enters into a contract or </w:t>
      </w:r>
      <w:r w:rsidR="00B501D7">
        <w:t xml:space="preserve">funding </w:t>
      </w:r>
      <w:r>
        <w:t>agreement to complete a project that includes building work</w:t>
      </w:r>
      <w:r w:rsidRPr="007E0F95">
        <w:t>, but that entity will not be undertaking the building work themselves</w:t>
      </w:r>
      <w:r w:rsidR="00E95723">
        <w:t xml:space="preserve"> (for example a contract entered into with a Project Management company)</w:t>
      </w:r>
      <w:r w:rsidRPr="007E0F95">
        <w:t>, this contract</w:t>
      </w:r>
      <w:r>
        <w:t xml:space="preserve"> or agreement is</w:t>
      </w:r>
      <w:r w:rsidRPr="007E0F95">
        <w:t xml:space="preserve"> not considered to be a ‘head contract for building </w:t>
      </w:r>
      <w:r w:rsidRPr="002539A5">
        <w:t xml:space="preserve">work’. </w:t>
      </w:r>
      <w:r w:rsidR="00E95723" w:rsidRPr="002539A5">
        <w:t>For this project, the ‘head contract for building work’ will sit at a lower contractual level depend</w:t>
      </w:r>
      <w:r w:rsidR="00BD71EB">
        <w:t>ing</w:t>
      </w:r>
      <w:r w:rsidR="00E95723" w:rsidRPr="002539A5">
        <w:t xml:space="preserve"> on who is engaged to undertake the building work. </w:t>
      </w:r>
      <w:bookmarkStart w:id="1" w:name="_Hlk63325949"/>
      <w:r w:rsidR="00E95723" w:rsidRPr="002539A5">
        <w:t xml:space="preserve">The highest level </w:t>
      </w:r>
      <w:r w:rsidRPr="002539A5">
        <w:t xml:space="preserve">contract or agreement </w:t>
      </w:r>
      <w:r w:rsidR="00156032" w:rsidRPr="002539A5">
        <w:t xml:space="preserve">that </w:t>
      </w:r>
      <w:r w:rsidR="00933307">
        <w:t xml:space="preserve">is enacted </w:t>
      </w:r>
      <w:r>
        <w:t>with a different entity</w:t>
      </w:r>
      <w:r w:rsidR="00156032">
        <w:t>, that:</w:t>
      </w:r>
      <w:bookmarkEnd w:id="1"/>
    </w:p>
    <w:p w14:paraId="2080AB65" w14:textId="57A50C2D" w:rsidR="00156032" w:rsidRDefault="00815080" w:rsidP="00156032">
      <w:pPr>
        <w:pStyle w:val="ListBullet"/>
      </w:pPr>
      <w:r>
        <w:t>forms</w:t>
      </w:r>
      <w:r w:rsidR="00156032">
        <w:t xml:space="preserve"> part of the funded project;</w:t>
      </w:r>
      <w:r w:rsidR="00E95723">
        <w:t xml:space="preserve"> and</w:t>
      </w:r>
    </w:p>
    <w:p w14:paraId="2F985197" w14:textId="0C756684" w:rsidR="00156032" w:rsidRDefault="00156032" w:rsidP="00882592">
      <w:pPr>
        <w:pStyle w:val="ListBullet"/>
        <w:spacing w:after="200"/>
        <w:ind w:left="357" w:hanging="357"/>
        <w:contextualSpacing w:val="0"/>
      </w:pPr>
      <w:r>
        <w:t>includes building work</w:t>
      </w:r>
      <w:r w:rsidR="00E95723">
        <w:t xml:space="preserve"> that</w:t>
      </w:r>
      <w:r>
        <w:t xml:space="preserve"> will be undertak</w:t>
      </w:r>
      <w:r w:rsidR="00E95723">
        <w:t>en by the different entity;</w:t>
      </w:r>
    </w:p>
    <w:p w14:paraId="5C7772E4" w14:textId="4948D8EF" w:rsidR="00F14753" w:rsidRDefault="00156032" w:rsidP="00882592">
      <w:r>
        <w:t>will constitute a ‘head contract for building work’.</w:t>
      </w:r>
    </w:p>
    <w:p w14:paraId="3E0CF742" w14:textId="09DB4B6D" w:rsidR="00E9371F" w:rsidRPr="00B9003F" w:rsidRDefault="00E9371F" w:rsidP="00882592">
      <w:bookmarkStart w:id="2" w:name="_Hlk57794925"/>
      <w:bookmarkStart w:id="3" w:name="_Hlk66352117"/>
      <w:r w:rsidRPr="00B9003F">
        <w:t xml:space="preserve">There may be more than one ‘head contract for building work’ under an individual project. For example, a funding recipient may choose to undertake a project in three </w:t>
      </w:r>
      <w:r w:rsidR="00B836D1" w:rsidRPr="00B9003F">
        <w:t>discrete</w:t>
      </w:r>
      <w:r w:rsidRPr="00B9003F">
        <w:t xml:space="preserve"> stages as follows:</w:t>
      </w:r>
    </w:p>
    <w:p w14:paraId="12766710" w14:textId="298A12D1" w:rsidR="00E9371F" w:rsidRPr="00B9003F" w:rsidRDefault="00E9371F" w:rsidP="00E9371F">
      <w:pPr>
        <w:pStyle w:val="ListBullet"/>
      </w:pPr>
      <w:r w:rsidRPr="00B9003F">
        <w:t>Stage 1 – Demolitions and site clearance</w:t>
      </w:r>
    </w:p>
    <w:p w14:paraId="635C7A3F" w14:textId="5B5F5F81" w:rsidR="00E9371F" w:rsidRPr="00B9003F" w:rsidRDefault="00E9371F" w:rsidP="00E9371F">
      <w:pPr>
        <w:pStyle w:val="ListBullet"/>
      </w:pPr>
      <w:r w:rsidRPr="00B9003F">
        <w:t xml:space="preserve">Stage 2 – Establishment of </w:t>
      </w:r>
      <w:r w:rsidR="00B836D1" w:rsidRPr="00B9003F">
        <w:t>b</w:t>
      </w:r>
      <w:r w:rsidRPr="00B9003F">
        <w:t>uilding foundations</w:t>
      </w:r>
    </w:p>
    <w:p w14:paraId="6DCAADE2" w14:textId="4766CE39" w:rsidR="00E9371F" w:rsidRPr="00B9003F" w:rsidRDefault="00E9371F" w:rsidP="00882592">
      <w:pPr>
        <w:pStyle w:val="ListBullet"/>
        <w:spacing w:after="200"/>
        <w:ind w:left="357" w:hanging="357"/>
        <w:contextualSpacing w:val="0"/>
      </w:pPr>
      <w:r w:rsidRPr="00B9003F">
        <w:t>Stage 3 – Building construction</w:t>
      </w:r>
    </w:p>
    <w:p w14:paraId="050F8C1D" w14:textId="137D9FA1" w:rsidR="00E9371F" w:rsidRDefault="00E9371F" w:rsidP="00882592">
      <w:r w:rsidRPr="00B9003F">
        <w:t>If the funding recipient issues separate tenders for each stage and engages different entities to undertake the building works under each stage, the separate contracts or funding agreements for each stage will all constitute a ‘head contract for building work’.</w:t>
      </w:r>
      <w:bookmarkEnd w:id="2"/>
    </w:p>
    <w:bookmarkEnd w:id="3"/>
    <w:p w14:paraId="3EA6A8D4" w14:textId="093720A4" w:rsidR="006019F7" w:rsidRPr="008F325B" w:rsidRDefault="00A61E3E" w:rsidP="00A61E3E">
      <w:pPr>
        <w:pStyle w:val="Heading1"/>
        <w:rPr>
          <w:sz w:val="24"/>
          <w:szCs w:val="24"/>
        </w:rPr>
      </w:pPr>
      <w:r w:rsidRPr="008F325B">
        <w:rPr>
          <w:sz w:val="24"/>
          <w:szCs w:val="24"/>
        </w:rPr>
        <w:t>Examples of how the indirect funding thresholds apply</w:t>
      </w:r>
    </w:p>
    <w:bookmarkEnd w:id="0"/>
    <w:p w14:paraId="650EED3F" w14:textId="5FAD2CDC" w:rsidR="002A5589" w:rsidRPr="00F14753" w:rsidRDefault="00815080" w:rsidP="002A5589">
      <w:pPr>
        <w:rPr>
          <w:bCs/>
        </w:rPr>
      </w:pPr>
      <w:r>
        <w:rPr>
          <w:bCs/>
        </w:rPr>
        <w:t xml:space="preserve">The </w:t>
      </w:r>
      <w:r w:rsidR="002A5589" w:rsidRPr="00F14753">
        <w:rPr>
          <w:bCs/>
        </w:rPr>
        <w:t>following examples explain how th</w:t>
      </w:r>
      <w:r>
        <w:rPr>
          <w:bCs/>
        </w:rPr>
        <w:t xml:space="preserve">e Scheme thresholds are applied </w:t>
      </w:r>
      <w:r w:rsidR="002A5589" w:rsidRPr="00F14753">
        <w:rPr>
          <w:bCs/>
        </w:rPr>
        <w:t>in practice:</w:t>
      </w:r>
    </w:p>
    <w:p w14:paraId="08B06CB9" w14:textId="4C733586" w:rsidR="002A5589" w:rsidRPr="005C6784" w:rsidRDefault="002A5589" w:rsidP="002A5589">
      <w:pPr>
        <w:rPr>
          <w:bCs/>
          <w:u w:val="single"/>
        </w:rPr>
      </w:pPr>
      <w:r w:rsidRPr="005C6784">
        <w:rPr>
          <w:bCs/>
          <w:u w:val="single"/>
        </w:rPr>
        <w:t>Example 1:</w:t>
      </w:r>
    </w:p>
    <w:p w14:paraId="734798B8" w14:textId="6C8C94BB" w:rsidR="002A5589" w:rsidRPr="00F14753" w:rsidRDefault="00815080" w:rsidP="002A5589">
      <w:pPr>
        <w:rPr>
          <w:bCs/>
        </w:rPr>
      </w:pPr>
      <w:r>
        <w:rPr>
          <w:bCs/>
        </w:rPr>
        <w:t>A f</w:t>
      </w:r>
      <w:r w:rsidR="002A5589" w:rsidRPr="00F14753">
        <w:rPr>
          <w:bCs/>
        </w:rPr>
        <w:t xml:space="preserve">unding agreement </w:t>
      </w:r>
      <w:r>
        <w:rPr>
          <w:bCs/>
        </w:rPr>
        <w:t xml:space="preserve">is </w:t>
      </w:r>
      <w:r w:rsidR="00B501D7">
        <w:rPr>
          <w:bCs/>
        </w:rPr>
        <w:t>enacted</w:t>
      </w:r>
      <w:r>
        <w:rPr>
          <w:bCs/>
        </w:rPr>
        <w:t xml:space="preserve"> </w:t>
      </w:r>
      <w:r w:rsidR="002A5589" w:rsidRPr="00F14753">
        <w:rPr>
          <w:bCs/>
        </w:rPr>
        <w:t xml:space="preserve">for a bridge replacement </w:t>
      </w:r>
      <w:r w:rsidR="00B501D7">
        <w:rPr>
          <w:bCs/>
        </w:rPr>
        <w:t xml:space="preserve">project </w:t>
      </w:r>
      <w:r w:rsidR="002A5589" w:rsidRPr="00F14753">
        <w:rPr>
          <w:bCs/>
        </w:rPr>
        <w:t xml:space="preserve">with </w:t>
      </w:r>
      <w:r>
        <w:rPr>
          <w:bCs/>
        </w:rPr>
        <w:t xml:space="preserve">the </w:t>
      </w:r>
      <w:r w:rsidR="002A5589" w:rsidRPr="00F14753">
        <w:rPr>
          <w:bCs/>
        </w:rPr>
        <w:t>Commonwealth contributing $7</w:t>
      </w:r>
      <w:r>
        <w:rPr>
          <w:bCs/>
        </w:rPr>
        <w:t xml:space="preserve"> </w:t>
      </w:r>
      <w:r w:rsidR="002A5589" w:rsidRPr="00F14753">
        <w:rPr>
          <w:bCs/>
        </w:rPr>
        <w:t>m</w:t>
      </w:r>
      <w:r>
        <w:rPr>
          <w:bCs/>
        </w:rPr>
        <w:t>illion</w:t>
      </w:r>
      <w:r w:rsidR="002A5589" w:rsidRPr="00F14753">
        <w:rPr>
          <w:bCs/>
        </w:rPr>
        <w:t xml:space="preserve"> and </w:t>
      </w:r>
      <w:r>
        <w:rPr>
          <w:bCs/>
        </w:rPr>
        <w:t xml:space="preserve">the </w:t>
      </w:r>
      <w:r w:rsidR="002A5589" w:rsidRPr="00F14753">
        <w:rPr>
          <w:bCs/>
        </w:rPr>
        <w:t>State Government contributing $10</w:t>
      </w:r>
      <w:r>
        <w:rPr>
          <w:bCs/>
        </w:rPr>
        <w:t xml:space="preserve"> </w:t>
      </w:r>
      <w:r w:rsidR="002A5589" w:rsidRPr="00F14753">
        <w:rPr>
          <w:bCs/>
        </w:rPr>
        <w:t>m</w:t>
      </w:r>
      <w:r>
        <w:rPr>
          <w:bCs/>
        </w:rPr>
        <w:t>illion</w:t>
      </w:r>
      <w:r w:rsidR="002A5589" w:rsidRPr="00F14753">
        <w:rPr>
          <w:bCs/>
        </w:rPr>
        <w:t>. The project is not captured under the Scheme as the Commonwealth contribution</w:t>
      </w:r>
      <w:r w:rsidR="00B501D7">
        <w:rPr>
          <w:bCs/>
        </w:rPr>
        <w:t>, although in excess of $6 million,</w:t>
      </w:r>
      <w:r w:rsidR="002A5589" w:rsidRPr="00F14753">
        <w:rPr>
          <w:bCs/>
        </w:rPr>
        <w:t xml:space="preserve"> does not constitute 50% or more of the project value. An accredited builder will not be required to undertake the building work even though </w:t>
      </w:r>
      <w:r w:rsidR="00B501D7">
        <w:rPr>
          <w:bCs/>
        </w:rPr>
        <w:t>a ‘</w:t>
      </w:r>
      <w:r w:rsidR="002A5589" w:rsidRPr="00F14753">
        <w:rPr>
          <w:bCs/>
        </w:rPr>
        <w:t>head contract for building work</w:t>
      </w:r>
      <w:r w:rsidR="00B501D7">
        <w:rPr>
          <w:bCs/>
        </w:rPr>
        <w:t>’ under the project</w:t>
      </w:r>
      <w:r w:rsidR="002A5589" w:rsidRPr="00F14753">
        <w:rPr>
          <w:bCs/>
        </w:rPr>
        <w:t xml:space="preserve"> is likely to exceed the $4</w:t>
      </w:r>
      <w:r w:rsidR="00C85A39">
        <w:rPr>
          <w:bCs/>
        </w:rPr>
        <w:t xml:space="preserve"> </w:t>
      </w:r>
      <w:r w:rsidR="002A5589" w:rsidRPr="00F14753">
        <w:rPr>
          <w:bCs/>
        </w:rPr>
        <w:t>m</w:t>
      </w:r>
      <w:r w:rsidR="00C85A39">
        <w:rPr>
          <w:bCs/>
        </w:rPr>
        <w:t>illion</w:t>
      </w:r>
      <w:r w:rsidR="002A5589" w:rsidRPr="00F14753">
        <w:rPr>
          <w:bCs/>
        </w:rPr>
        <w:t xml:space="preserve"> threshold.</w:t>
      </w:r>
    </w:p>
    <w:p w14:paraId="459C16A4" w14:textId="6ECF6C76" w:rsidR="002A5589" w:rsidRPr="005C6784" w:rsidRDefault="002A5589" w:rsidP="002A5589">
      <w:pPr>
        <w:rPr>
          <w:bCs/>
          <w:u w:val="single"/>
        </w:rPr>
      </w:pPr>
      <w:r w:rsidRPr="005C6784">
        <w:rPr>
          <w:bCs/>
          <w:u w:val="single"/>
        </w:rPr>
        <w:t>Example 2:</w:t>
      </w:r>
    </w:p>
    <w:p w14:paraId="7C0A3122" w14:textId="1F6E46A2" w:rsidR="00B501D7" w:rsidRDefault="00B501D7" w:rsidP="002A5589">
      <w:pPr>
        <w:rPr>
          <w:bCs/>
        </w:rPr>
      </w:pPr>
      <w:r>
        <w:rPr>
          <w:bCs/>
        </w:rPr>
        <w:t>A f</w:t>
      </w:r>
      <w:r w:rsidR="002A5589" w:rsidRPr="00F14753">
        <w:rPr>
          <w:bCs/>
        </w:rPr>
        <w:t>unding agreement</w:t>
      </w:r>
      <w:r>
        <w:rPr>
          <w:bCs/>
        </w:rPr>
        <w:t xml:space="preserve"> is enacted</w:t>
      </w:r>
      <w:r w:rsidR="002A5589" w:rsidRPr="00F14753">
        <w:rPr>
          <w:bCs/>
        </w:rPr>
        <w:t xml:space="preserve"> to support road improvements with</w:t>
      </w:r>
      <w:r>
        <w:rPr>
          <w:bCs/>
        </w:rPr>
        <w:t xml:space="preserve"> the</w:t>
      </w:r>
      <w:r w:rsidR="002A5589" w:rsidRPr="00F14753">
        <w:rPr>
          <w:bCs/>
        </w:rPr>
        <w:t xml:space="preserve"> Commonwealth and State Government providing matching funding of $8</w:t>
      </w:r>
      <w:r>
        <w:rPr>
          <w:bCs/>
        </w:rPr>
        <w:t> </w:t>
      </w:r>
      <w:r w:rsidR="002A5589" w:rsidRPr="00F14753">
        <w:rPr>
          <w:bCs/>
        </w:rPr>
        <w:t>m</w:t>
      </w:r>
      <w:r>
        <w:rPr>
          <w:bCs/>
        </w:rPr>
        <w:t>illion</w:t>
      </w:r>
      <w:r w:rsidR="002A5589" w:rsidRPr="00F14753">
        <w:rPr>
          <w:bCs/>
        </w:rPr>
        <w:t xml:space="preserve"> each. The funding agreement </w:t>
      </w:r>
      <w:r>
        <w:rPr>
          <w:bCs/>
        </w:rPr>
        <w:t>provides</w:t>
      </w:r>
      <w:r w:rsidR="002A5589" w:rsidRPr="00F14753">
        <w:rPr>
          <w:bCs/>
        </w:rPr>
        <w:t xml:space="preserve"> the State Government discretion in determining what individual road improvement works will be funded. </w:t>
      </w:r>
      <w:r>
        <w:rPr>
          <w:bCs/>
        </w:rPr>
        <w:t>For the purposes of the Scheme, t</w:t>
      </w:r>
      <w:r w:rsidR="002A5589" w:rsidRPr="00F14753">
        <w:rPr>
          <w:bCs/>
        </w:rPr>
        <w:t>he project is considered to be all roadworks completed using the $16</w:t>
      </w:r>
      <w:r w:rsidR="00C85A39">
        <w:rPr>
          <w:bCs/>
        </w:rPr>
        <w:t xml:space="preserve"> </w:t>
      </w:r>
      <w:r w:rsidR="002A5589" w:rsidRPr="00F14753">
        <w:rPr>
          <w:bCs/>
        </w:rPr>
        <w:t>m</w:t>
      </w:r>
      <w:r w:rsidR="00C85A39">
        <w:rPr>
          <w:bCs/>
        </w:rPr>
        <w:t>illion</w:t>
      </w:r>
      <w:r w:rsidR="002A5589" w:rsidRPr="00F14753">
        <w:rPr>
          <w:bCs/>
        </w:rPr>
        <w:t>. The project is captured under the Scheme as the $6</w:t>
      </w:r>
      <w:r w:rsidR="00C85A39">
        <w:rPr>
          <w:bCs/>
        </w:rPr>
        <w:t xml:space="preserve"> </w:t>
      </w:r>
      <w:r w:rsidR="002A5589" w:rsidRPr="00F14753">
        <w:rPr>
          <w:bCs/>
        </w:rPr>
        <w:t>m</w:t>
      </w:r>
      <w:r w:rsidR="00C85A39">
        <w:rPr>
          <w:bCs/>
        </w:rPr>
        <w:t>illion</w:t>
      </w:r>
      <w:r w:rsidR="002A5589" w:rsidRPr="00F14753">
        <w:rPr>
          <w:bCs/>
        </w:rPr>
        <w:t xml:space="preserve"> threshold is </w:t>
      </w:r>
      <w:r w:rsidR="00CF45D3">
        <w:rPr>
          <w:bCs/>
        </w:rPr>
        <w:t>met</w:t>
      </w:r>
      <w:r>
        <w:rPr>
          <w:bCs/>
        </w:rPr>
        <w:t xml:space="preserve"> and the Commonwealth contribution is at least 50 per cent</w:t>
      </w:r>
      <w:r w:rsidR="002A5589" w:rsidRPr="00F14753">
        <w:rPr>
          <w:bCs/>
        </w:rPr>
        <w:t>.</w:t>
      </w:r>
    </w:p>
    <w:p w14:paraId="101D63B4" w14:textId="3A9BDE9C" w:rsidR="002A5589" w:rsidRPr="00F14753" w:rsidRDefault="002A5589" w:rsidP="002A5589">
      <w:pPr>
        <w:rPr>
          <w:bCs/>
        </w:rPr>
      </w:pPr>
      <w:r w:rsidRPr="00F14753">
        <w:rPr>
          <w:bCs/>
        </w:rPr>
        <w:t>The application of the $4</w:t>
      </w:r>
      <w:r w:rsidR="00C85A39">
        <w:rPr>
          <w:bCs/>
        </w:rPr>
        <w:t xml:space="preserve"> </w:t>
      </w:r>
      <w:r w:rsidRPr="00F14753">
        <w:rPr>
          <w:bCs/>
        </w:rPr>
        <w:t>m</w:t>
      </w:r>
      <w:r w:rsidR="00C85A39">
        <w:rPr>
          <w:bCs/>
        </w:rPr>
        <w:t>illion</w:t>
      </w:r>
      <w:r w:rsidRPr="00F14753">
        <w:rPr>
          <w:bCs/>
        </w:rPr>
        <w:t xml:space="preserve"> threshold will be dependent on the individual road works packages that the State Government decides to fund. </w:t>
      </w:r>
      <w:r w:rsidR="00B501D7">
        <w:rPr>
          <w:bCs/>
        </w:rPr>
        <w:t>For this project, t</w:t>
      </w:r>
      <w:r w:rsidRPr="00F14753">
        <w:rPr>
          <w:bCs/>
        </w:rPr>
        <w:t xml:space="preserve">he State Government decides to fund </w:t>
      </w:r>
      <w:r w:rsidRPr="00F14753">
        <w:rPr>
          <w:bCs/>
        </w:rPr>
        <w:lastRenderedPageBreak/>
        <w:t>four works packages put forward by four different Councils. Two packages are funded for $5</w:t>
      </w:r>
      <w:r w:rsidR="00C85A39">
        <w:rPr>
          <w:bCs/>
        </w:rPr>
        <w:t xml:space="preserve"> </w:t>
      </w:r>
      <w:r w:rsidRPr="00F14753">
        <w:rPr>
          <w:bCs/>
        </w:rPr>
        <w:t>m</w:t>
      </w:r>
      <w:r w:rsidR="00C85A39">
        <w:rPr>
          <w:bCs/>
        </w:rPr>
        <w:t>illion</w:t>
      </w:r>
      <w:r w:rsidRPr="00F14753">
        <w:rPr>
          <w:bCs/>
        </w:rPr>
        <w:t xml:space="preserve"> and two packages for $3</w:t>
      </w:r>
      <w:r w:rsidR="00C85A39">
        <w:rPr>
          <w:bCs/>
        </w:rPr>
        <w:t xml:space="preserve"> </w:t>
      </w:r>
      <w:r w:rsidRPr="00F14753">
        <w:rPr>
          <w:bCs/>
        </w:rPr>
        <w:t>m</w:t>
      </w:r>
      <w:r w:rsidR="00C85A39">
        <w:rPr>
          <w:bCs/>
        </w:rPr>
        <w:t>illion</w:t>
      </w:r>
      <w:r w:rsidRPr="00F14753">
        <w:rPr>
          <w:bCs/>
        </w:rPr>
        <w:t>. The $3</w:t>
      </w:r>
      <w:r w:rsidR="00C85A39">
        <w:rPr>
          <w:bCs/>
        </w:rPr>
        <w:t xml:space="preserve"> </w:t>
      </w:r>
      <w:r w:rsidRPr="00F14753">
        <w:rPr>
          <w:bCs/>
        </w:rPr>
        <w:t>m</w:t>
      </w:r>
      <w:r w:rsidR="00C85A39">
        <w:rPr>
          <w:bCs/>
        </w:rPr>
        <w:t>illion</w:t>
      </w:r>
      <w:r w:rsidRPr="00F14753">
        <w:rPr>
          <w:bCs/>
        </w:rPr>
        <w:t xml:space="preserve"> packages are below the threshold and therefore the building works can be undertaken by a non-</w:t>
      </w:r>
      <w:r w:rsidR="00E9371F" w:rsidRPr="005C6784">
        <w:rPr>
          <w:bCs/>
          <w:noProof/>
          <w:lang w:eastAsia="en-AU"/>
        </w:rPr>
        <mc:AlternateContent>
          <mc:Choice Requires="wps">
            <w:drawing>
              <wp:anchor distT="45720" distB="45720" distL="114300" distR="114300" simplePos="0" relativeHeight="251684864" behindDoc="0" locked="0" layoutInCell="1" allowOverlap="1" wp14:anchorId="17E78683" wp14:editId="463B7651">
                <wp:simplePos x="0" y="0"/>
                <wp:positionH relativeFrom="column">
                  <wp:posOffset>3077308</wp:posOffset>
                </wp:positionH>
                <wp:positionV relativeFrom="paragraph">
                  <wp:posOffset>62620</wp:posOffset>
                </wp:positionV>
                <wp:extent cx="2778125" cy="1404620"/>
                <wp:effectExtent l="0" t="0" r="2222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1404620"/>
                        </a:xfrm>
                        <a:prstGeom prst="rect">
                          <a:avLst/>
                        </a:prstGeom>
                        <a:solidFill>
                          <a:srgbClr val="FFFFFF"/>
                        </a:solidFill>
                        <a:ln w="9525">
                          <a:solidFill>
                            <a:srgbClr val="000000"/>
                          </a:solidFill>
                          <a:miter lim="800000"/>
                          <a:headEnd/>
                          <a:tailEnd/>
                        </a:ln>
                      </wps:spPr>
                      <wps:txbx>
                        <w:txbxContent>
                          <w:p w14:paraId="0108B72C" w14:textId="02088F8D" w:rsidR="005C6784" w:rsidRDefault="005C6784">
                            <w:r w:rsidRPr="009C1375">
                              <w:t xml:space="preserve">This fact sheet was last </w:t>
                            </w:r>
                            <w:r w:rsidRPr="00B9003F">
                              <w:t xml:space="preserve">updated </w:t>
                            </w:r>
                            <w:r w:rsidR="00920F2B" w:rsidRPr="00B9003F">
                              <w:t xml:space="preserve">15 </w:t>
                            </w:r>
                            <w:r w:rsidR="00B9003F" w:rsidRPr="00B9003F">
                              <w:t>April</w:t>
                            </w:r>
                            <w:r w:rsidR="00920F2B" w:rsidRPr="00B9003F">
                              <w:t xml:space="preserve"> 2021</w:t>
                            </w:r>
                            <w:r w:rsidRPr="00B9003F">
                              <w:t>.</w:t>
                            </w:r>
                            <w:r w:rsidRPr="009C1375">
                              <w:t xml:space="preserve">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78683" id="_x0000_t202" coordsize="21600,21600" o:spt="202" path="m,l,21600r21600,l21600,xe">
                <v:stroke joinstyle="miter"/>
                <v:path gradientshapeok="t" o:connecttype="rect"/>
              </v:shapetype>
              <v:shape id="Text Box 2" o:spid="_x0000_s1026" type="#_x0000_t202" style="position:absolute;margin-left:242.3pt;margin-top:4.95pt;width:218.7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">
                <v:textbox style="mso-fit-shape-to-text:t">
                  <w:txbxContent>
                    <w:p w14:paraId="0108B72C" w14:textId="02088F8D" w:rsidR="005C6784" w:rsidRDefault="005C6784">
                      <w:r w:rsidRPr="009C1375">
                        <w:t xml:space="preserve">This fact sheet was last </w:t>
                      </w:r>
                      <w:r w:rsidRPr="00B9003F">
                        <w:t xml:space="preserve">updated </w:t>
                      </w:r>
                      <w:r w:rsidR="00920F2B" w:rsidRPr="00B9003F">
                        <w:t xml:space="preserve">15 </w:t>
                      </w:r>
                      <w:r w:rsidR="00B9003F" w:rsidRPr="00B9003F">
                        <w:t>April</w:t>
                      </w:r>
                      <w:r w:rsidR="00920F2B" w:rsidRPr="00B9003F">
                        <w:t xml:space="preserve"> 2021</w:t>
                      </w:r>
                      <w:r w:rsidRPr="00B9003F">
                        <w:t>.</w:t>
                      </w:r>
                      <w:r w:rsidRPr="009C1375">
                        <w:t xml:space="preserve">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type="square"/>
              </v:shape>
            </w:pict>
          </mc:Fallback>
        </mc:AlternateContent>
      </w:r>
      <w:r w:rsidRPr="00F14753">
        <w:rPr>
          <w:bCs/>
        </w:rPr>
        <w:t>accredited builder. In the case of the $5</w:t>
      </w:r>
      <w:r w:rsidR="00C85A39">
        <w:rPr>
          <w:bCs/>
        </w:rPr>
        <w:t xml:space="preserve"> </w:t>
      </w:r>
      <w:r w:rsidRPr="00F14753">
        <w:rPr>
          <w:bCs/>
        </w:rPr>
        <w:t>m</w:t>
      </w:r>
      <w:r w:rsidR="00C85A39">
        <w:rPr>
          <w:bCs/>
        </w:rPr>
        <w:t>illion</w:t>
      </w:r>
      <w:r w:rsidRPr="00F14753">
        <w:rPr>
          <w:bCs/>
        </w:rPr>
        <w:t xml:space="preserve"> packages, the $4</w:t>
      </w:r>
      <w:r w:rsidR="00C85A39">
        <w:rPr>
          <w:bCs/>
        </w:rPr>
        <w:t xml:space="preserve"> </w:t>
      </w:r>
      <w:r w:rsidRPr="00F14753">
        <w:rPr>
          <w:bCs/>
        </w:rPr>
        <w:t>m</w:t>
      </w:r>
      <w:r w:rsidR="00C85A39">
        <w:rPr>
          <w:bCs/>
        </w:rPr>
        <w:t>illion</w:t>
      </w:r>
      <w:r w:rsidRPr="00F14753">
        <w:rPr>
          <w:bCs/>
        </w:rPr>
        <w:t xml:space="preserve"> threshold will be triggered and the Councils will need to be accredited if they undertake the building work themselves. Alte</w:t>
      </w:r>
      <w:r w:rsidRPr="002539A5">
        <w:rPr>
          <w:bCs/>
        </w:rPr>
        <w:t>rnativel</w:t>
      </w:r>
      <w:r w:rsidRPr="00F14753">
        <w:rPr>
          <w:bCs/>
        </w:rPr>
        <w:t>y, if they contract the works out, an accredited builder will need to be engaged</w:t>
      </w:r>
      <w:r w:rsidR="00C85A39">
        <w:rPr>
          <w:bCs/>
        </w:rPr>
        <w:t xml:space="preserve"> where any ‘head contract for building work’ has a value of at least $4 million</w:t>
      </w:r>
      <w:r w:rsidRPr="00F14753">
        <w:rPr>
          <w:bCs/>
        </w:rPr>
        <w:t>.</w:t>
      </w:r>
    </w:p>
    <w:p w14:paraId="12BC4826" w14:textId="7505B890" w:rsidR="002A5589" w:rsidRPr="005C6784" w:rsidRDefault="002A5589" w:rsidP="002A5589">
      <w:pPr>
        <w:rPr>
          <w:bCs/>
          <w:u w:val="single"/>
        </w:rPr>
      </w:pPr>
      <w:r w:rsidRPr="005C6784">
        <w:rPr>
          <w:bCs/>
          <w:u w:val="single"/>
        </w:rPr>
        <w:t>Example 3:</w:t>
      </w:r>
    </w:p>
    <w:p w14:paraId="56D5D63D" w14:textId="07D69D09" w:rsidR="00C85A39" w:rsidRDefault="00C85A39" w:rsidP="00D115E7">
      <w:pPr>
        <w:rPr>
          <w:bCs/>
        </w:rPr>
      </w:pPr>
      <w:r>
        <w:rPr>
          <w:bCs/>
        </w:rPr>
        <w:t>A f</w:t>
      </w:r>
      <w:r w:rsidR="002A5589" w:rsidRPr="00F14753">
        <w:rPr>
          <w:bCs/>
        </w:rPr>
        <w:t>unding agreement</w:t>
      </w:r>
      <w:r>
        <w:rPr>
          <w:bCs/>
        </w:rPr>
        <w:t xml:space="preserve"> is enacted</w:t>
      </w:r>
      <w:r w:rsidR="002A5589" w:rsidRPr="00F14753">
        <w:rPr>
          <w:bCs/>
        </w:rPr>
        <w:t xml:space="preserve"> to support the construction of a </w:t>
      </w:r>
      <w:r w:rsidR="00CD256A">
        <w:rPr>
          <w:bCs/>
        </w:rPr>
        <w:t>u</w:t>
      </w:r>
      <w:r>
        <w:rPr>
          <w:bCs/>
        </w:rPr>
        <w:t>niversity</w:t>
      </w:r>
      <w:r w:rsidR="002A5589" w:rsidRPr="00F14753">
        <w:rPr>
          <w:bCs/>
        </w:rPr>
        <w:t xml:space="preserve"> </w:t>
      </w:r>
      <w:r w:rsidR="005C6784">
        <w:rPr>
          <w:bCs/>
        </w:rPr>
        <w:t>research laboratory</w:t>
      </w:r>
      <w:r w:rsidR="002A5589" w:rsidRPr="00F14753">
        <w:rPr>
          <w:bCs/>
        </w:rPr>
        <w:t xml:space="preserve"> fully funded by the Commonwealth at a cost of $12</w:t>
      </w:r>
      <w:r w:rsidR="005C6784">
        <w:rPr>
          <w:bCs/>
        </w:rPr>
        <w:t xml:space="preserve"> </w:t>
      </w:r>
      <w:r w:rsidR="002A5589" w:rsidRPr="00F14753">
        <w:rPr>
          <w:bCs/>
        </w:rPr>
        <w:t>m</w:t>
      </w:r>
      <w:r w:rsidR="005C6784">
        <w:rPr>
          <w:bCs/>
        </w:rPr>
        <w:t>illion</w:t>
      </w:r>
      <w:r w:rsidR="002A5589" w:rsidRPr="00F14753">
        <w:rPr>
          <w:bCs/>
        </w:rPr>
        <w:t>. The agreement commits $3</w:t>
      </w:r>
      <w:r>
        <w:rPr>
          <w:bCs/>
        </w:rPr>
        <w:t xml:space="preserve"> </w:t>
      </w:r>
      <w:r w:rsidR="002A5589" w:rsidRPr="00F14753">
        <w:rPr>
          <w:bCs/>
        </w:rPr>
        <w:t>m</w:t>
      </w:r>
      <w:r>
        <w:rPr>
          <w:bCs/>
        </w:rPr>
        <w:t>illion</w:t>
      </w:r>
      <w:r w:rsidR="002A5589" w:rsidRPr="00F14753">
        <w:rPr>
          <w:bCs/>
        </w:rPr>
        <w:t xml:space="preserve"> to build the data centre, $6</w:t>
      </w:r>
      <w:r>
        <w:rPr>
          <w:bCs/>
        </w:rPr>
        <w:t xml:space="preserve"> </w:t>
      </w:r>
      <w:r w:rsidR="002A5589" w:rsidRPr="00F14753">
        <w:rPr>
          <w:bCs/>
        </w:rPr>
        <w:t>m</w:t>
      </w:r>
      <w:r>
        <w:rPr>
          <w:bCs/>
        </w:rPr>
        <w:t>illion</w:t>
      </w:r>
      <w:r w:rsidR="002A5589" w:rsidRPr="00F14753">
        <w:rPr>
          <w:bCs/>
        </w:rPr>
        <w:t xml:space="preserve"> to purchase and install equipment and $3</w:t>
      </w:r>
      <w:r>
        <w:rPr>
          <w:bCs/>
        </w:rPr>
        <w:t xml:space="preserve"> </w:t>
      </w:r>
      <w:r w:rsidR="002A5589" w:rsidRPr="00F14753">
        <w:rPr>
          <w:bCs/>
        </w:rPr>
        <w:t>m</w:t>
      </w:r>
      <w:r>
        <w:rPr>
          <w:bCs/>
        </w:rPr>
        <w:t>illion</w:t>
      </w:r>
      <w:r w:rsidR="002A5589" w:rsidRPr="00F14753">
        <w:rPr>
          <w:bCs/>
        </w:rPr>
        <w:t xml:space="preserve"> to meet ongoing operational costs. </w:t>
      </w:r>
      <w:r>
        <w:rPr>
          <w:bCs/>
        </w:rPr>
        <w:t>For the purposes of the Scheme, t</w:t>
      </w:r>
      <w:r w:rsidR="002A5589" w:rsidRPr="00F14753">
        <w:rPr>
          <w:bCs/>
        </w:rPr>
        <w:t>he project is considered to cover all sub</w:t>
      </w:r>
      <w:r>
        <w:rPr>
          <w:bCs/>
        </w:rPr>
        <w:t>-</w:t>
      </w:r>
      <w:r w:rsidR="002A5589" w:rsidRPr="00F14753">
        <w:rPr>
          <w:bCs/>
        </w:rPr>
        <w:t>components of the agreement and will be captured under the Scheme as the $10</w:t>
      </w:r>
      <w:r>
        <w:rPr>
          <w:bCs/>
        </w:rPr>
        <w:t xml:space="preserve"> </w:t>
      </w:r>
      <w:r w:rsidR="002A5589" w:rsidRPr="00F14753">
        <w:rPr>
          <w:bCs/>
        </w:rPr>
        <w:t>m</w:t>
      </w:r>
      <w:r>
        <w:rPr>
          <w:bCs/>
        </w:rPr>
        <w:t>illion</w:t>
      </w:r>
      <w:r w:rsidR="002A5589" w:rsidRPr="00F14753">
        <w:rPr>
          <w:bCs/>
        </w:rPr>
        <w:t xml:space="preserve"> threshold is triggered.</w:t>
      </w:r>
    </w:p>
    <w:p w14:paraId="6F62B255" w14:textId="072E87B2" w:rsidR="003E3250" w:rsidRDefault="002A5589" w:rsidP="00D115E7">
      <w:pPr>
        <w:rPr>
          <w:bCs/>
        </w:rPr>
      </w:pPr>
      <w:r w:rsidRPr="00F14753">
        <w:rPr>
          <w:bCs/>
        </w:rPr>
        <w:t xml:space="preserve">The </w:t>
      </w:r>
      <w:r w:rsidR="00C85A39">
        <w:rPr>
          <w:bCs/>
        </w:rPr>
        <w:t>University</w:t>
      </w:r>
      <w:r w:rsidRPr="00F14753">
        <w:rPr>
          <w:bCs/>
        </w:rPr>
        <w:t xml:space="preserve"> issues a tender for the full build of the centre, including the supply and installation of the equipment. Two tenders are submitted. Tender one outlines that the full project will be undertaken by the tendering entity. Tender two indicates that the tendering entity will act as a project manager and separately subcontract the centre build and supply/installation of equipment. </w:t>
      </w:r>
    </w:p>
    <w:p w14:paraId="60978E29" w14:textId="77777777" w:rsidR="003E3250" w:rsidRDefault="002A5589" w:rsidP="00D115E7">
      <w:pPr>
        <w:rPr>
          <w:bCs/>
        </w:rPr>
      </w:pPr>
      <w:r w:rsidRPr="00F14753">
        <w:rPr>
          <w:bCs/>
        </w:rPr>
        <w:t>If tender one is selected, the entity would be required to be accredited under the Scheme to meet the legislative requirements. This is because the contract that will be entered into is over $4</w:t>
      </w:r>
      <w:r w:rsidR="00C85A39">
        <w:rPr>
          <w:bCs/>
        </w:rPr>
        <w:t> </w:t>
      </w:r>
      <w:r w:rsidRPr="00F14753">
        <w:rPr>
          <w:bCs/>
        </w:rPr>
        <w:t>m</w:t>
      </w:r>
      <w:r w:rsidR="00C85A39">
        <w:rPr>
          <w:bCs/>
        </w:rPr>
        <w:t>illion</w:t>
      </w:r>
      <w:r w:rsidRPr="00F14753">
        <w:rPr>
          <w:bCs/>
        </w:rPr>
        <w:t xml:space="preserve"> and includes building work that will be undertaken by the entity signing the contract.</w:t>
      </w:r>
    </w:p>
    <w:p w14:paraId="631BB60E" w14:textId="7A1B4968" w:rsidR="00065283" w:rsidRDefault="003E3250" w:rsidP="00D115E7">
      <w:pPr>
        <w:rPr>
          <w:b/>
        </w:rPr>
        <w:sectPr w:rsidR="00065283" w:rsidSect="006F4D02">
          <w:headerReference w:type="default" r:id="rId13"/>
          <w:footerReference w:type="default" r:id="rId14"/>
          <w:type w:val="continuous"/>
          <w:pgSz w:w="11906" w:h="16838"/>
          <w:pgMar w:top="1418" w:right="1440" w:bottom="1440" w:left="1440" w:header="708" w:footer="405" w:gutter="0"/>
          <w:cols w:num="2" w:space="708"/>
          <w:docGrid w:linePitch="360"/>
        </w:sectPr>
      </w:pPr>
      <w:r w:rsidRPr="00F14753">
        <w:rPr>
          <w:rFonts w:ascii="Calibri" w:eastAsia="Times New Roman" w:hAnsi="Calibri" w:cs="Calibri"/>
          <w:bCs/>
          <w:noProof/>
          <w:sz w:val="24"/>
          <w:szCs w:val="24"/>
          <w:lang w:eastAsia="en-AU"/>
        </w:rPr>
        <mc:AlternateContent>
          <mc:Choice Requires="wps">
            <w:drawing>
              <wp:anchor distT="0" distB="0" distL="114300" distR="114300" simplePos="0" relativeHeight="251681792" behindDoc="1" locked="0" layoutInCell="1" allowOverlap="1" wp14:anchorId="7BDE1254" wp14:editId="7145361A">
                <wp:simplePos x="0" y="0"/>
                <wp:positionH relativeFrom="margin">
                  <wp:align>left</wp:align>
                </wp:positionH>
                <wp:positionV relativeFrom="paragraph">
                  <wp:posOffset>1108710</wp:posOffset>
                </wp:positionV>
                <wp:extent cx="2705100" cy="1057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705100" cy="1057275"/>
                        </a:xfrm>
                        <a:prstGeom prst="rect">
                          <a:avLst/>
                        </a:prstGeom>
                        <a:solidFill>
                          <a:sysClr val="window" lastClr="FFFFFF">
                            <a:lumMod val="85000"/>
                          </a:sysClr>
                        </a:solidFill>
                        <a:ln w="6350">
                          <a:noFill/>
                        </a:ln>
                      </wps:spPr>
                      <wps:txbx>
                        <w:txbxContent>
                          <w:p w14:paraId="6BE7F544" w14:textId="77777777" w:rsidR="00667459" w:rsidRPr="00667459" w:rsidRDefault="00667459" w:rsidP="00667459">
                            <w:pPr>
                              <w:rPr>
                                <w:rFonts w:ascii="Calibri" w:eastAsia="Times New Roman" w:hAnsi="Calibri" w:cs="Times New Roman"/>
                                <w:b/>
                                <w:bCs/>
                                <w:sz w:val="28"/>
                                <w:szCs w:val="26"/>
                              </w:rPr>
                            </w:pPr>
                            <w:r w:rsidRPr="00667459">
                              <w:rPr>
                                <w:rFonts w:ascii="Calibri" w:eastAsia="Times New Roman" w:hAnsi="Calibri" w:cs="Times New Roman"/>
                                <w:b/>
                                <w:bCs/>
                                <w:sz w:val="28"/>
                                <w:szCs w:val="26"/>
                              </w:rPr>
                              <w:t>For further information:</w:t>
                            </w:r>
                          </w:p>
                          <w:p w14:paraId="3CB924F2" w14:textId="77777777" w:rsidR="00667459" w:rsidRPr="00DB79B9" w:rsidRDefault="00667459" w:rsidP="00667459">
                            <w:pPr>
                              <w:pStyle w:val="ListParagraph"/>
                              <w:numPr>
                                <w:ilvl w:val="0"/>
                                <w:numId w:val="27"/>
                              </w:numPr>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25CB197A" w14:textId="77777777" w:rsidR="00667459" w:rsidRPr="00DB79B9" w:rsidRDefault="00F47E2A" w:rsidP="00667459">
                            <w:pPr>
                              <w:pStyle w:val="ListParagraph"/>
                              <w:numPr>
                                <w:ilvl w:val="0"/>
                                <w:numId w:val="27"/>
                              </w:numPr>
                              <w:ind w:left="284" w:hanging="284"/>
                              <w:rPr>
                                <w:szCs w:val="20"/>
                              </w:rPr>
                            </w:pPr>
                            <w:r>
                              <w:rPr>
                                <w:szCs w:val="20"/>
                              </w:rPr>
                              <w:t>Cont</w:t>
                            </w:r>
                            <w:r w:rsidR="00667459" w:rsidRPr="00DB79B9">
                              <w:rPr>
                                <w:szCs w:val="20"/>
                              </w:rPr>
                              <w:t xml:space="preserve">act the FSC Assist Line on </w:t>
                            </w:r>
                            <w:r w:rsidR="00667459" w:rsidRPr="00DB79B9">
                              <w:rPr>
                                <w:b/>
                                <w:szCs w:val="20"/>
                              </w:rPr>
                              <w:t>1800 652 500</w:t>
                            </w:r>
                          </w:p>
                          <w:p w14:paraId="7B9D34AF" w14:textId="2AAC4EC6" w:rsidR="00667459" w:rsidRPr="00DB79B9" w:rsidRDefault="00667459" w:rsidP="00667459">
                            <w:pPr>
                              <w:pStyle w:val="ListParagraph"/>
                              <w:numPr>
                                <w:ilvl w:val="0"/>
                                <w:numId w:val="27"/>
                              </w:numPr>
                              <w:ind w:left="284" w:hanging="284"/>
                              <w:rPr>
                                <w:szCs w:val="20"/>
                              </w:rPr>
                            </w:pPr>
                            <w:r w:rsidRPr="00DB79B9">
                              <w:rPr>
                                <w:szCs w:val="20"/>
                              </w:rPr>
                              <w:t xml:space="preserve">Contact the OFSC via email at </w:t>
                            </w:r>
                            <w:r w:rsidRPr="00DB79B9">
                              <w:rPr>
                                <w:b/>
                                <w:szCs w:val="20"/>
                              </w:rPr>
                              <w:t>ofsc@</w:t>
                            </w:r>
                            <w:r w:rsidR="000623F6">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E1254" id="_x0000_s1027" type="#_x0000_t202" style="position:absolute;margin-left:0;margin-top:87.3pt;width:213pt;height:83.2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" fillcolor="#d9d9d9" stroked="f" strokeweight=".5pt">
                <v:textbox>
                  <w:txbxContent>
                    <w:p w14:paraId="6BE7F544" w14:textId="77777777" w:rsidR="00667459" w:rsidRPr="00667459" w:rsidRDefault="00667459" w:rsidP="00667459">
                      <w:pPr>
                        <w:rPr>
                          <w:rFonts w:ascii="Calibri" w:eastAsia="Times New Roman" w:hAnsi="Calibri" w:cs="Times New Roman"/>
                          <w:b/>
                          <w:bCs/>
                          <w:sz w:val="28"/>
                          <w:szCs w:val="26"/>
                        </w:rPr>
                      </w:pPr>
                      <w:r w:rsidRPr="00667459">
                        <w:rPr>
                          <w:rFonts w:ascii="Calibri" w:eastAsia="Times New Roman" w:hAnsi="Calibri" w:cs="Times New Roman"/>
                          <w:b/>
                          <w:bCs/>
                          <w:sz w:val="28"/>
                          <w:szCs w:val="26"/>
                        </w:rPr>
                        <w:t>For further information:</w:t>
                      </w:r>
                    </w:p>
                    <w:p w14:paraId="3CB924F2" w14:textId="77777777" w:rsidR="00667459" w:rsidRPr="00DB79B9" w:rsidRDefault="00667459" w:rsidP="00667459">
                      <w:pPr>
                        <w:pStyle w:val="ListParagraph"/>
                        <w:numPr>
                          <w:ilvl w:val="0"/>
                          <w:numId w:val="27"/>
                        </w:numPr>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25CB197A" w14:textId="77777777" w:rsidR="00667459" w:rsidRPr="00DB79B9" w:rsidRDefault="00F47E2A" w:rsidP="00667459">
                      <w:pPr>
                        <w:pStyle w:val="ListParagraph"/>
                        <w:numPr>
                          <w:ilvl w:val="0"/>
                          <w:numId w:val="27"/>
                        </w:numPr>
                        <w:ind w:left="284" w:hanging="284"/>
                        <w:rPr>
                          <w:szCs w:val="20"/>
                        </w:rPr>
                      </w:pPr>
                      <w:r>
                        <w:rPr>
                          <w:szCs w:val="20"/>
                        </w:rPr>
                        <w:t>Cont</w:t>
                      </w:r>
                      <w:r w:rsidR="00667459" w:rsidRPr="00DB79B9">
                        <w:rPr>
                          <w:szCs w:val="20"/>
                        </w:rPr>
                        <w:t xml:space="preserve">act the FSC Assist Line on </w:t>
                      </w:r>
                      <w:r w:rsidR="00667459" w:rsidRPr="00DB79B9">
                        <w:rPr>
                          <w:b/>
                          <w:szCs w:val="20"/>
                        </w:rPr>
                        <w:t>1800 652 500</w:t>
                      </w:r>
                    </w:p>
                    <w:p w14:paraId="7B9D34AF" w14:textId="2AAC4EC6" w:rsidR="00667459" w:rsidRPr="00DB79B9" w:rsidRDefault="00667459" w:rsidP="00667459">
                      <w:pPr>
                        <w:pStyle w:val="ListParagraph"/>
                        <w:numPr>
                          <w:ilvl w:val="0"/>
                          <w:numId w:val="27"/>
                        </w:numPr>
                        <w:ind w:left="284" w:hanging="284"/>
                        <w:rPr>
                          <w:szCs w:val="20"/>
                        </w:rPr>
                      </w:pPr>
                      <w:r w:rsidRPr="00DB79B9">
                        <w:rPr>
                          <w:szCs w:val="20"/>
                        </w:rPr>
                        <w:t xml:space="preserve">Contact the OFSC via email at </w:t>
                      </w:r>
                      <w:r w:rsidRPr="00DB79B9">
                        <w:rPr>
                          <w:b/>
                          <w:szCs w:val="20"/>
                        </w:rPr>
                        <w:t>ofsc@</w:t>
                      </w:r>
                      <w:r w:rsidR="000623F6">
                        <w:rPr>
                          <w:b/>
                          <w:szCs w:val="20"/>
                        </w:rPr>
                        <w:t>dewr.gov.au</w:t>
                      </w:r>
                    </w:p>
                  </w:txbxContent>
                </v:textbox>
                <w10:wrap anchorx="margin"/>
              </v:shape>
            </w:pict>
          </mc:Fallback>
        </mc:AlternateContent>
      </w:r>
      <w:r w:rsidR="002A5589" w:rsidRPr="00F14753">
        <w:rPr>
          <w:bCs/>
        </w:rPr>
        <w:t>If tender two is selected, the entity would not require accreditation and neither would the builder sub-contracted to undertake the build</w:t>
      </w:r>
      <w:r w:rsidR="00CF45D3">
        <w:rPr>
          <w:bCs/>
        </w:rPr>
        <w:t xml:space="preserve"> of the centre</w:t>
      </w:r>
      <w:r w:rsidR="002A5589" w:rsidRPr="00F14753">
        <w:rPr>
          <w:bCs/>
        </w:rPr>
        <w:t xml:space="preserve"> (assuming the value of </w:t>
      </w:r>
      <w:r w:rsidR="005C6784">
        <w:rPr>
          <w:bCs/>
        </w:rPr>
        <w:t>any</w:t>
      </w:r>
      <w:r w:rsidR="002A5589" w:rsidRPr="00F14753">
        <w:rPr>
          <w:bCs/>
        </w:rPr>
        <w:t xml:space="preserve"> </w:t>
      </w:r>
      <w:r w:rsidR="005C6784">
        <w:rPr>
          <w:bCs/>
        </w:rPr>
        <w:t>‘head contract for building work’</w:t>
      </w:r>
      <w:r w:rsidR="002A5589" w:rsidRPr="00F14753">
        <w:rPr>
          <w:bCs/>
        </w:rPr>
        <w:t xml:space="preserve"> </w:t>
      </w:r>
      <w:r w:rsidR="005C6784">
        <w:rPr>
          <w:bCs/>
        </w:rPr>
        <w:t xml:space="preserve">under the project </w:t>
      </w:r>
      <w:r w:rsidR="002A5589" w:rsidRPr="00F14753">
        <w:rPr>
          <w:bCs/>
        </w:rPr>
        <w:t>was below the $4</w:t>
      </w:r>
      <w:r w:rsidR="005C6784">
        <w:rPr>
          <w:bCs/>
        </w:rPr>
        <w:t> </w:t>
      </w:r>
      <w:r w:rsidR="002A5589" w:rsidRPr="00F14753">
        <w:rPr>
          <w:bCs/>
        </w:rPr>
        <w:t>m</w:t>
      </w:r>
      <w:r w:rsidR="005C6784">
        <w:rPr>
          <w:bCs/>
        </w:rPr>
        <w:t>illion</w:t>
      </w:r>
      <w:r w:rsidR="002A5589" w:rsidRPr="00F14753">
        <w:rPr>
          <w:bCs/>
        </w:rPr>
        <w:t xml:space="preserve"> threshold).</w:t>
      </w:r>
    </w:p>
    <w:p w14:paraId="24CE0463" w14:textId="28EAAFCE" w:rsidR="0001250E" w:rsidRDefault="0001250E" w:rsidP="0001250E">
      <w:pPr>
        <w:jc w:val="center"/>
        <w:rPr>
          <w:noProof/>
        </w:rPr>
      </w:pPr>
      <w:r w:rsidRPr="00615586">
        <w:rPr>
          <w:rFonts w:ascii="+flowchart" w:hAnsi="+flowchart"/>
          <w:noProof/>
        </w:rPr>
        <w:lastRenderedPageBreak/>
        <w:drawing>
          <wp:inline distT="0" distB="0" distL="0" distR="0" wp14:anchorId="4E674D79" wp14:editId="73379370">
            <wp:extent cx="9056753" cy="6122504"/>
            <wp:effectExtent l="0" t="0" r="0" b="0"/>
            <wp:docPr id="1" name="Picture 1" descr="This flowchart assists recipients of Commonwealth funding to determine whether an accredited builder must be used to undertake building work as part of a project that is either fully or partially funded by the Commonw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lowchart assists recipients of Commonwealth funding to determine whether an accredited builder must be used to undertake building work as part of a project that is either fully or partially funded by the Commonwealth."/>
                    <pic:cNvPicPr/>
                  </pic:nvPicPr>
                  <pic:blipFill rotWithShape="1">
                    <a:blip r:embed="rId15"/>
                    <a:srcRect l="15230" t="8669" r="11767" b="6059"/>
                    <a:stretch/>
                  </pic:blipFill>
                  <pic:spPr bwMode="auto">
                    <a:xfrm>
                      <a:off x="0" y="0"/>
                      <a:ext cx="9107634" cy="6156901"/>
                    </a:xfrm>
                    <a:prstGeom prst="rect">
                      <a:avLst/>
                    </a:prstGeom>
                    <a:ln>
                      <a:noFill/>
                    </a:ln>
                    <a:extLst>
                      <a:ext uri="{53640926-AAD7-44D8-BBD7-CCE9431645EC}">
                        <a14:shadowObscured xmlns:a14="http://schemas.microsoft.com/office/drawing/2010/main"/>
                      </a:ext>
                    </a:extLst>
                  </pic:spPr>
                </pic:pic>
              </a:graphicData>
            </a:graphic>
          </wp:inline>
        </w:drawing>
      </w:r>
    </w:p>
    <w:sectPr w:rsidR="0001250E" w:rsidSect="00EC05DD">
      <w:headerReference w:type="default" r:id="rId16"/>
      <w:pgSz w:w="16838" w:h="11906" w:orient="landscape"/>
      <w:pgMar w:top="1134" w:right="1418" w:bottom="567" w:left="1440"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52B8E" w14:textId="77777777" w:rsidR="00130923" w:rsidRDefault="00130923" w:rsidP="00D115E7">
      <w:r>
        <w:separator/>
      </w:r>
    </w:p>
  </w:endnote>
  <w:endnote w:type="continuationSeparator" w:id="0">
    <w:p w14:paraId="0874CE80" w14:textId="77777777" w:rsidR="00130923" w:rsidRDefault="00130923" w:rsidP="00D1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owchar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8E9D" w14:textId="77777777" w:rsidR="003242B9" w:rsidRPr="000B1D63" w:rsidRDefault="000B1D63" w:rsidP="00D115E7">
    <w:pPr>
      <w:pStyle w:val="Footer"/>
      <w:rPr>
        <w:noProof/>
      </w:rPr>
    </w:pPr>
    <w:r>
      <w:rPr>
        <w:noProof/>
        <w:lang w:eastAsia="en-AU"/>
      </w:rPr>
      <w:drawing>
        <wp:anchor distT="0" distB="0" distL="114300" distR="114300" simplePos="0" relativeHeight="251659264" behindDoc="1" locked="0" layoutInCell="1" allowOverlap="1" wp14:anchorId="5FD03609" wp14:editId="51B5E8DC">
          <wp:simplePos x="0" y="0"/>
          <wp:positionH relativeFrom="page">
            <wp:align>left</wp:align>
          </wp:positionH>
          <wp:positionV relativeFrom="paragraph">
            <wp:posOffset>-252096</wp:posOffset>
          </wp:positionV>
          <wp:extent cx="7663180" cy="75247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52475"/>
                  </a:xfrm>
                  <a:prstGeom prst="rect">
                    <a:avLst/>
                  </a:prstGeom>
                </pic:spPr>
              </pic:pic>
            </a:graphicData>
          </a:graphic>
          <wp14:sizeRelH relativeFrom="page">
            <wp14:pctWidth>0</wp14:pctWidth>
          </wp14:sizeRelH>
          <wp14:sizeRelV relativeFrom="page">
            <wp14:pctHeight>0</wp14:pctHeight>
          </wp14:sizeRelV>
        </wp:anchor>
      </w:drawing>
    </w:r>
    <w:r>
      <w:tab/>
    </w:r>
    <w:sdt>
      <w:sdtPr>
        <w:id w:val="-1069572021"/>
        <w:docPartObj>
          <w:docPartGallery w:val="Page Numbers (Bottom of Page)"/>
          <w:docPartUnique/>
        </w:docPartObj>
      </w:sdtPr>
      <w:sdtEndPr>
        <w:rPr>
          <w:noProof/>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657F" w14:textId="2ED55D30" w:rsidR="003242B9" w:rsidRDefault="003E2492" w:rsidP="00D115E7">
    <w:pPr>
      <w:pStyle w:val="Footer"/>
    </w:pPr>
    <w:sdt>
      <w:sdtPr>
        <w:id w:val="-535585624"/>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9BDE" w14:textId="77777777" w:rsidR="00130923" w:rsidRDefault="00130923" w:rsidP="00D115E7">
      <w:r>
        <w:separator/>
      </w:r>
    </w:p>
  </w:footnote>
  <w:footnote w:type="continuationSeparator" w:id="0">
    <w:p w14:paraId="0B3DA497" w14:textId="77777777" w:rsidR="00130923" w:rsidRDefault="00130923" w:rsidP="00D11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320B" w14:textId="77777777" w:rsidR="00560CA0" w:rsidRPr="00F30EC0" w:rsidRDefault="00E37855" w:rsidP="006F4D02">
    <w:pPr>
      <w:pStyle w:val="Header"/>
      <w:jc w:val="right"/>
    </w:pPr>
    <w:r>
      <w:t>Fact Sheet – Applying the Scheme to indirectly funded building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67B5" w14:textId="50F32524" w:rsidR="00065283" w:rsidRPr="00F30EC0" w:rsidRDefault="00065283" w:rsidP="006F4D02">
    <w:pPr>
      <w:pStyle w:val="Header"/>
      <w:jc w:val="right"/>
    </w:pPr>
    <w:r>
      <w:t>A</w:t>
    </w:r>
    <w:r w:rsidR="00EC05DD">
      <w:t>PPENDIX</w:t>
    </w:r>
    <w: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A2CB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5D57A98"/>
    <w:multiLevelType w:val="hybridMultilevel"/>
    <w:tmpl w:val="C69CD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EE7D36"/>
    <w:multiLevelType w:val="hybridMultilevel"/>
    <w:tmpl w:val="728AAB12"/>
    <w:lvl w:ilvl="0" w:tplc="69C4F5FE">
      <w:start w:val="1"/>
      <w:numFmt w:val="bullet"/>
      <w:pStyle w:val="OFSCBullets"/>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9"/>
  </w:num>
  <w:num w:numId="15">
    <w:abstractNumId w:val="11"/>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5"/>
  </w:num>
  <w:num w:numId="28">
    <w:abstractNumId w:val="9"/>
  </w:num>
  <w:num w:numId="29">
    <w:abstractNumId w:val="12"/>
  </w:num>
  <w:num w:numId="30">
    <w:abstractNumId w:val="14"/>
  </w:num>
  <w:num w:numId="31">
    <w:abstractNumId w:val="1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1250E"/>
    <w:rsid w:val="00024E24"/>
    <w:rsid w:val="00034EAA"/>
    <w:rsid w:val="000376CB"/>
    <w:rsid w:val="000623F6"/>
    <w:rsid w:val="00065283"/>
    <w:rsid w:val="000861A6"/>
    <w:rsid w:val="000B1D63"/>
    <w:rsid w:val="000E6FBB"/>
    <w:rsid w:val="000F3BA2"/>
    <w:rsid w:val="001175BF"/>
    <w:rsid w:val="001226A1"/>
    <w:rsid w:val="00130923"/>
    <w:rsid w:val="001414F3"/>
    <w:rsid w:val="00143FCD"/>
    <w:rsid w:val="00156032"/>
    <w:rsid w:val="00187647"/>
    <w:rsid w:val="001B6467"/>
    <w:rsid w:val="001C5A6F"/>
    <w:rsid w:val="001D3B48"/>
    <w:rsid w:val="00204E2F"/>
    <w:rsid w:val="00223EB1"/>
    <w:rsid w:val="00236917"/>
    <w:rsid w:val="00243D6B"/>
    <w:rsid w:val="002539A5"/>
    <w:rsid w:val="002854D6"/>
    <w:rsid w:val="002A0245"/>
    <w:rsid w:val="002A5589"/>
    <w:rsid w:val="002A610F"/>
    <w:rsid w:val="002B06E6"/>
    <w:rsid w:val="002D271F"/>
    <w:rsid w:val="002D6386"/>
    <w:rsid w:val="002E4818"/>
    <w:rsid w:val="00305B35"/>
    <w:rsid w:val="003242B9"/>
    <w:rsid w:val="00346AE2"/>
    <w:rsid w:val="00367BAD"/>
    <w:rsid w:val="003D67FC"/>
    <w:rsid w:val="003E2492"/>
    <w:rsid w:val="003E3250"/>
    <w:rsid w:val="00406E5A"/>
    <w:rsid w:val="00415567"/>
    <w:rsid w:val="0043479F"/>
    <w:rsid w:val="0043732E"/>
    <w:rsid w:val="00455B34"/>
    <w:rsid w:val="0048762C"/>
    <w:rsid w:val="004A4AFD"/>
    <w:rsid w:val="004B256F"/>
    <w:rsid w:val="004B4740"/>
    <w:rsid w:val="004C5911"/>
    <w:rsid w:val="004D54E7"/>
    <w:rsid w:val="005113B6"/>
    <w:rsid w:val="00531817"/>
    <w:rsid w:val="00560CA0"/>
    <w:rsid w:val="005624F3"/>
    <w:rsid w:val="005811EF"/>
    <w:rsid w:val="005A3F08"/>
    <w:rsid w:val="005A50E9"/>
    <w:rsid w:val="005B0878"/>
    <w:rsid w:val="005C15C0"/>
    <w:rsid w:val="005C6784"/>
    <w:rsid w:val="005C6E20"/>
    <w:rsid w:val="005E7A8C"/>
    <w:rsid w:val="006019F7"/>
    <w:rsid w:val="00610093"/>
    <w:rsid w:val="00610654"/>
    <w:rsid w:val="00615586"/>
    <w:rsid w:val="0065654B"/>
    <w:rsid w:val="00667459"/>
    <w:rsid w:val="0067026C"/>
    <w:rsid w:val="00681B59"/>
    <w:rsid w:val="006A5BDD"/>
    <w:rsid w:val="006C7513"/>
    <w:rsid w:val="006E2D49"/>
    <w:rsid w:val="006F4D02"/>
    <w:rsid w:val="007468FC"/>
    <w:rsid w:val="00765ABB"/>
    <w:rsid w:val="00792CA3"/>
    <w:rsid w:val="00792CC2"/>
    <w:rsid w:val="007B2FDD"/>
    <w:rsid w:val="007C3FCE"/>
    <w:rsid w:val="007E0F95"/>
    <w:rsid w:val="007F7F1E"/>
    <w:rsid w:val="00815080"/>
    <w:rsid w:val="0083468A"/>
    <w:rsid w:val="0084292A"/>
    <w:rsid w:val="00842D43"/>
    <w:rsid w:val="00856D1C"/>
    <w:rsid w:val="008630C8"/>
    <w:rsid w:val="00876AC0"/>
    <w:rsid w:val="00882592"/>
    <w:rsid w:val="008F325B"/>
    <w:rsid w:val="009116EA"/>
    <w:rsid w:val="00920F2B"/>
    <w:rsid w:val="00923C84"/>
    <w:rsid w:val="00933307"/>
    <w:rsid w:val="00933671"/>
    <w:rsid w:val="0094640F"/>
    <w:rsid w:val="00965D5E"/>
    <w:rsid w:val="00972DD5"/>
    <w:rsid w:val="00981775"/>
    <w:rsid w:val="00984879"/>
    <w:rsid w:val="00985632"/>
    <w:rsid w:val="009856EF"/>
    <w:rsid w:val="00991B63"/>
    <w:rsid w:val="009B2428"/>
    <w:rsid w:val="009B4E68"/>
    <w:rsid w:val="009B5CB7"/>
    <w:rsid w:val="009C1807"/>
    <w:rsid w:val="00A31242"/>
    <w:rsid w:val="00A52530"/>
    <w:rsid w:val="00A551BF"/>
    <w:rsid w:val="00A61E3E"/>
    <w:rsid w:val="00A70524"/>
    <w:rsid w:val="00A73406"/>
    <w:rsid w:val="00A904EC"/>
    <w:rsid w:val="00AB65D6"/>
    <w:rsid w:val="00AC65DA"/>
    <w:rsid w:val="00AF2181"/>
    <w:rsid w:val="00B03010"/>
    <w:rsid w:val="00B2722A"/>
    <w:rsid w:val="00B412C9"/>
    <w:rsid w:val="00B501D7"/>
    <w:rsid w:val="00B618BA"/>
    <w:rsid w:val="00B653DF"/>
    <w:rsid w:val="00B67038"/>
    <w:rsid w:val="00B772A7"/>
    <w:rsid w:val="00B836D1"/>
    <w:rsid w:val="00B9003F"/>
    <w:rsid w:val="00BA0BE9"/>
    <w:rsid w:val="00BB4721"/>
    <w:rsid w:val="00BD71EB"/>
    <w:rsid w:val="00BF1AF1"/>
    <w:rsid w:val="00BF42FB"/>
    <w:rsid w:val="00C05E74"/>
    <w:rsid w:val="00C10C19"/>
    <w:rsid w:val="00C20FE1"/>
    <w:rsid w:val="00C5649C"/>
    <w:rsid w:val="00C75486"/>
    <w:rsid w:val="00C8202C"/>
    <w:rsid w:val="00C85A39"/>
    <w:rsid w:val="00C92A5B"/>
    <w:rsid w:val="00CA46EC"/>
    <w:rsid w:val="00CB38FA"/>
    <w:rsid w:val="00CB3D92"/>
    <w:rsid w:val="00CD256A"/>
    <w:rsid w:val="00CF45D3"/>
    <w:rsid w:val="00CF49E1"/>
    <w:rsid w:val="00CF7C84"/>
    <w:rsid w:val="00D06208"/>
    <w:rsid w:val="00D115E7"/>
    <w:rsid w:val="00D1394D"/>
    <w:rsid w:val="00D17020"/>
    <w:rsid w:val="00D379F9"/>
    <w:rsid w:val="00D420F6"/>
    <w:rsid w:val="00D903FD"/>
    <w:rsid w:val="00D907BB"/>
    <w:rsid w:val="00D94BC5"/>
    <w:rsid w:val="00D96C08"/>
    <w:rsid w:val="00DF238C"/>
    <w:rsid w:val="00E34290"/>
    <w:rsid w:val="00E37855"/>
    <w:rsid w:val="00E535EA"/>
    <w:rsid w:val="00E914CE"/>
    <w:rsid w:val="00E930B8"/>
    <w:rsid w:val="00E9371F"/>
    <w:rsid w:val="00E93BD5"/>
    <w:rsid w:val="00E95723"/>
    <w:rsid w:val="00E95E61"/>
    <w:rsid w:val="00EC05DD"/>
    <w:rsid w:val="00ED1402"/>
    <w:rsid w:val="00ED43D2"/>
    <w:rsid w:val="00EE3B8C"/>
    <w:rsid w:val="00EF4A38"/>
    <w:rsid w:val="00F14753"/>
    <w:rsid w:val="00F30EC0"/>
    <w:rsid w:val="00F31C72"/>
    <w:rsid w:val="00F47E2A"/>
    <w:rsid w:val="00F5755C"/>
    <w:rsid w:val="00FB0AEA"/>
    <w:rsid w:val="00FB10CB"/>
    <w:rsid w:val="00FC4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20A7CE3"/>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5E7"/>
    <w:pPr>
      <w:spacing w:line="240" w:lineRule="auto"/>
    </w:pPr>
    <w:rPr>
      <w:sz w:val="20"/>
    </w:rPr>
  </w:style>
  <w:style w:type="paragraph" w:styleId="Heading1">
    <w:name w:val="heading 1"/>
    <w:basedOn w:val="Normal"/>
    <w:next w:val="Normal"/>
    <w:link w:val="Heading1Char"/>
    <w:uiPriority w:val="9"/>
    <w:qFormat/>
    <w:rsid w:val="00F31C72"/>
    <w:pPr>
      <w:spacing w:after="0"/>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F31C72"/>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226A1"/>
    <w:pPr>
      <w:spacing w:after="120"/>
      <w:contextualSpacing/>
    </w:pPr>
    <w:rPr>
      <w:rFonts w:ascii="Calibri" w:eastAsiaTheme="majorEastAsia" w:hAnsi="Calibri" w:cstheme="majorBidi"/>
      <w:b/>
      <w:color w:val="C00000"/>
      <w:spacing w:val="5"/>
      <w:sz w:val="40"/>
      <w:szCs w:val="52"/>
    </w:rPr>
  </w:style>
  <w:style w:type="character" w:customStyle="1" w:styleId="TitleChar">
    <w:name w:val="Title Char"/>
    <w:basedOn w:val="DefaultParagraphFont"/>
    <w:link w:val="Title"/>
    <w:uiPriority w:val="10"/>
    <w:rsid w:val="001226A1"/>
    <w:rPr>
      <w:rFonts w:ascii="Calibri" w:eastAsiaTheme="majorEastAsia" w:hAnsi="Calibri" w:cstheme="majorBidi"/>
      <w:b/>
      <w:color w:val="C00000"/>
      <w:spacing w:val="5"/>
      <w:sz w:val="40"/>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2A610F"/>
    <w:pPr>
      <w:numPr>
        <w:numId w:val="19"/>
      </w:numPr>
      <w:suppressAutoHyphens/>
      <w:autoSpaceDE w:val="0"/>
      <w:autoSpaceDN w:val="0"/>
      <w:adjustRightInd w:val="0"/>
      <w:spacing w:after="100"/>
      <w:ind w:left="567" w:hanging="426"/>
      <w:textAlignment w:val="center"/>
    </w:pPr>
    <w:rPr>
      <w:rFonts w:eastAsia="Times New Roman" w:cstheme="minorHAnsi"/>
      <w:color w:val="000000"/>
      <w:sz w:val="19"/>
      <w:szCs w:val="19"/>
      <w:lang w:val="en-GB" w:eastAsia="en-AU"/>
    </w:rPr>
  </w:style>
  <w:style w:type="paragraph" w:customStyle="1" w:styleId="OFSCShadedBoxBullets">
    <w:name w:val="OFSC Shaded Box Bullets"/>
    <w:basedOn w:val="OFSCBullets"/>
    <w:qFormat/>
    <w:rsid w:val="002A610F"/>
    <w:pPr>
      <w:pBdr>
        <w:top w:val="single" w:sz="18" w:space="1" w:color="6C6C6C" w:themeColor="background1" w:themeShade="D9"/>
        <w:left w:val="single" w:sz="18" w:space="4" w:color="6C6C6C" w:themeColor="background1" w:themeShade="D9"/>
        <w:bottom w:val="single" w:sz="18" w:space="1" w:color="6C6C6C" w:themeColor="background1" w:themeShade="D9"/>
        <w:right w:val="single" w:sz="18" w:space="4" w:color="6C6C6C" w:themeColor="background1" w:themeShade="D9"/>
      </w:pBdr>
      <w:shd w:val="clear" w:color="auto" w:fill="6C6C6C" w:themeFill="background1" w:themeFillShade="D9"/>
      <w:ind w:left="720" w:hanging="360"/>
    </w:pPr>
  </w:style>
  <w:style w:type="paragraph" w:customStyle="1" w:styleId="OFSCHeading2">
    <w:name w:val="OFSC Heading 2"/>
    <w:basedOn w:val="Normal"/>
    <w:qFormat/>
    <w:rsid w:val="002A610F"/>
    <w:pPr>
      <w:suppressAutoHyphens/>
      <w:autoSpaceDE w:val="0"/>
      <w:autoSpaceDN w:val="0"/>
      <w:adjustRightInd w:val="0"/>
      <w:spacing w:after="100"/>
      <w:textAlignment w:val="center"/>
    </w:pPr>
    <w:rPr>
      <w:rFonts w:eastAsia="Times New Roman" w:cstheme="minorHAnsi"/>
      <w:color w:val="C00000"/>
      <w:sz w:val="26"/>
      <w:szCs w:val="26"/>
      <w:lang w:val="en-GB" w:eastAsia="en-AU"/>
    </w:rPr>
  </w:style>
  <w:style w:type="character" w:styleId="CommentReference">
    <w:name w:val="annotation reference"/>
    <w:basedOn w:val="DefaultParagraphFont"/>
    <w:uiPriority w:val="99"/>
    <w:semiHidden/>
    <w:unhideWhenUsed/>
    <w:rsid w:val="005A50E9"/>
    <w:rPr>
      <w:sz w:val="16"/>
      <w:szCs w:val="16"/>
    </w:rPr>
  </w:style>
  <w:style w:type="paragraph" w:styleId="CommentText">
    <w:name w:val="annotation text"/>
    <w:basedOn w:val="Normal"/>
    <w:link w:val="CommentTextChar"/>
    <w:uiPriority w:val="99"/>
    <w:semiHidden/>
    <w:unhideWhenUsed/>
    <w:rsid w:val="005A50E9"/>
    <w:rPr>
      <w:szCs w:val="20"/>
    </w:rPr>
  </w:style>
  <w:style w:type="character" w:customStyle="1" w:styleId="CommentTextChar">
    <w:name w:val="Comment Text Char"/>
    <w:basedOn w:val="DefaultParagraphFont"/>
    <w:link w:val="CommentText"/>
    <w:uiPriority w:val="99"/>
    <w:semiHidden/>
    <w:rsid w:val="005A50E9"/>
    <w:rPr>
      <w:sz w:val="20"/>
      <w:szCs w:val="20"/>
    </w:rPr>
  </w:style>
  <w:style w:type="paragraph" w:styleId="CommentSubject">
    <w:name w:val="annotation subject"/>
    <w:basedOn w:val="CommentText"/>
    <w:next w:val="CommentText"/>
    <w:link w:val="CommentSubjectChar"/>
    <w:uiPriority w:val="99"/>
    <w:semiHidden/>
    <w:unhideWhenUsed/>
    <w:rsid w:val="005A50E9"/>
    <w:rPr>
      <w:b/>
      <w:bCs/>
    </w:rPr>
  </w:style>
  <w:style w:type="character" w:customStyle="1" w:styleId="CommentSubjectChar">
    <w:name w:val="Comment Subject Char"/>
    <w:basedOn w:val="CommentTextChar"/>
    <w:link w:val="CommentSubject"/>
    <w:uiPriority w:val="99"/>
    <w:semiHidden/>
    <w:rsid w:val="005A50E9"/>
    <w:rPr>
      <w:b/>
      <w:bCs/>
      <w:sz w:val="20"/>
      <w:szCs w:val="20"/>
    </w:rPr>
  </w:style>
  <w:style w:type="paragraph" w:styleId="Revision">
    <w:name w:val="Revision"/>
    <w:hidden/>
    <w:uiPriority w:val="99"/>
    <w:semiHidden/>
    <w:rsid w:val="005A50E9"/>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owchar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00C6-7152-4B85-BF5C-DCBCEE63012E}">
  <ds:schemaRefs>
    <ds:schemaRef ds:uri="http://schemas.openxmlformats.org/officeDocument/2006/bibliography"/>
  </ds:schemaRefs>
</ds:datastoreItem>
</file>

<file path=customXml/itemProps2.xml><?xml version="1.0" encoding="utf-8"?>
<ds:datastoreItem xmlns:ds="http://schemas.openxmlformats.org/officeDocument/2006/customXml" ds:itemID="{42F6E6C7-97A8-4C76-AD94-10096C71C9AA}">
  <ds:schemaRefs>
    <ds:schemaRef ds:uri="http://schemas.microsoft.com/sharepoint/v3/contenttype/forms"/>
  </ds:schemaRefs>
</ds:datastoreItem>
</file>

<file path=customXml/itemProps3.xml><?xml version="1.0" encoding="utf-8"?>
<ds:datastoreItem xmlns:ds="http://schemas.openxmlformats.org/officeDocument/2006/customXml" ds:itemID="{4BAEB9B3-1859-464D-B2A8-D5903C1FE44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E664C38-7C5D-4533-8D81-97FD58245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1498</Words>
  <Characters>8011</Characters>
  <Application>Microsoft Office Word</Application>
  <DocSecurity>0</DocSecurity>
  <Lines>231</Lines>
  <Paragraphs>48</Paragraphs>
  <ScaleCrop>false</ScaleCrop>
  <HeadingPairs>
    <vt:vector size="2" baseType="variant">
      <vt:variant>
        <vt:lpstr>Title</vt:lpstr>
      </vt:variant>
      <vt:variant>
        <vt:i4>1</vt:i4>
      </vt:variant>
    </vt:vector>
  </HeadingPairs>
  <TitlesOfParts>
    <vt:vector size="1" baseType="lpstr">
      <vt:lpstr>Fact Sheet – Applying the Scheme to indirectly funded building work</vt:lpstr>
    </vt:vector>
  </TitlesOfParts>
  <Company>Australian Government</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Applying the Scheme to indirectly funded building work</dc:title>
  <dc:creator>Danny Thomas</dc:creator>
  <cp:lastModifiedBy>MATTON-JOHNSON,Elanor</cp:lastModifiedBy>
  <cp:revision>5</cp:revision>
  <cp:lastPrinted>2022-08-26T02:16:00Z</cp:lastPrinted>
  <dcterms:created xsi:type="dcterms:W3CDTF">2022-07-21T06:28:00Z</dcterms:created>
  <dcterms:modified xsi:type="dcterms:W3CDTF">2022-08-26T02:16:00Z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2022-07-21T06:28:11Z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a8a69023-7a25-4748-9cc2-cc2d5727cc53</vt:lpwstr>
  </property>
  <property fmtid="{D5CDD505-2E9C-101B-9397-08002B2CF9AE}" pid="9" name="MSIP_Label_79d889eb-932f-4752-8739-64d25806ef64_ContentBits">
    <vt:lpwstr>0</vt:lpwstr>
  </property>
</Properties>
</file>